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BF" w:rsidRDefault="009219BF" w:rsidP="009219BF">
      <w:pPr>
        <w:rPr>
          <w:rFonts w:ascii="Calibri" w:eastAsia="Calibri" w:hAnsi="Calibri" w:cs="Calibri"/>
          <w:b/>
          <w:bCs/>
          <w:u w:val="single"/>
        </w:rPr>
      </w:pPr>
      <w:bookmarkStart w:id="0" w:name="_GoBack"/>
      <w:bookmarkEnd w:id="0"/>
      <w:r>
        <w:rPr>
          <w:noProof/>
        </w:rPr>
        <w:drawing>
          <wp:anchor distT="0" distB="0" distL="114300" distR="114300" simplePos="0" relativeHeight="251660288" behindDoc="1" locked="0" layoutInCell="0" allowOverlap="0" wp14:anchorId="16BD6B94" wp14:editId="7BD4B898">
            <wp:simplePos x="0" y="0"/>
            <wp:positionH relativeFrom="margin">
              <wp:posOffset>1590675</wp:posOffset>
            </wp:positionH>
            <wp:positionV relativeFrom="page">
              <wp:posOffset>466090</wp:posOffset>
            </wp:positionV>
            <wp:extent cx="3332480" cy="9417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2480" cy="941705"/>
                    </a:xfrm>
                    <a:prstGeom prst="rect">
                      <a:avLst/>
                    </a:prstGeom>
                    <a:noFill/>
                  </pic:spPr>
                </pic:pic>
              </a:graphicData>
            </a:graphic>
            <wp14:sizeRelH relativeFrom="page">
              <wp14:pctWidth>0</wp14:pctWidth>
            </wp14:sizeRelH>
            <wp14:sizeRelV relativeFrom="page">
              <wp14:pctHeight>0</wp14:pctHeight>
            </wp14:sizeRelV>
          </wp:anchor>
        </w:drawing>
      </w: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9219BF" w:rsidRDefault="009219BF" w:rsidP="009219BF">
      <w:pPr>
        <w:rPr>
          <w:rFonts w:ascii="Calibri" w:eastAsia="Calibri" w:hAnsi="Calibri" w:cs="Calibri"/>
          <w:b/>
          <w:bCs/>
          <w:u w:val="single"/>
        </w:rPr>
      </w:pPr>
    </w:p>
    <w:p w:rsidR="00B40E2A" w:rsidRDefault="009219BF" w:rsidP="009219BF">
      <w:pPr>
        <w:jc w:val="center"/>
        <w:rPr>
          <w:rFonts w:ascii="Calibri" w:eastAsia="Calibri" w:hAnsi="Calibri" w:cs="Calibri"/>
          <w:b/>
          <w:bCs/>
          <w:sz w:val="36"/>
          <w:szCs w:val="36"/>
        </w:rPr>
      </w:pPr>
      <w:r w:rsidRPr="009219BF">
        <w:rPr>
          <w:rFonts w:ascii="Calibri" w:eastAsia="Calibri" w:hAnsi="Calibri" w:cs="Calibri"/>
          <w:b/>
          <w:bCs/>
          <w:sz w:val="36"/>
          <w:szCs w:val="36"/>
        </w:rPr>
        <w:t xml:space="preserve">Cashflow and Payroll Options for Health Centers </w:t>
      </w:r>
    </w:p>
    <w:p w:rsidR="009219BF" w:rsidRDefault="00B40E2A" w:rsidP="009219BF">
      <w:pPr>
        <w:jc w:val="center"/>
        <w:rPr>
          <w:rFonts w:ascii="Calibri" w:eastAsia="Calibri" w:hAnsi="Calibri" w:cs="Calibri"/>
          <w:b/>
          <w:bCs/>
          <w:sz w:val="36"/>
          <w:szCs w:val="36"/>
        </w:rPr>
      </w:pPr>
      <w:r>
        <w:rPr>
          <w:rFonts w:ascii="Calibri" w:eastAsia="Calibri" w:hAnsi="Calibri" w:cs="Calibri"/>
          <w:b/>
          <w:bCs/>
          <w:sz w:val="36"/>
          <w:szCs w:val="36"/>
        </w:rPr>
        <w:t>with less than 500 staff</w:t>
      </w:r>
    </w:p>
    <w:p w:rsidR="009219BF" w:rsidRPr="009219BF" w:rsidRDefault="00B40E2A" w:rsidP="009219BF">
      <w:pPr>
        <w:jc w:val="center"/>
        <w:rPr>
          <w:sz w:val="36"/>
          <w:szCs w:val="36"/>
        </w:rPr>
      </w:pPr>
      <w:r>
        <w:rPr>
          <w:rFonts w:ascii="Calibri" w:eastAsia="Calibri" w:hAnsi="Calibri" w:cs="Calibri"/>
          <w:b/>
          <w:bCs/>
          <w:sz w:val="36"/>
          <w:szCs w:val="36"/>
        </w:rPr>
        <w:t>d</w:t>
      </w:r>
      <w:r w:rsidR="009219BF" w:rsidRPr="009219BF">
        <w:rPr>
          <w:rFonts w:ascii="Calibri" w:eastAsia="Calibri" w:hAnsi="Calibri" w:cs="Calibri"/>
          <w:b/>
          <w:bCs/>
          <w:sz w:val="36"/>
          <w:szCs w:val="36"/>
        </w:rPr>
        <w:t>uring the Covid-19 Crisis</w:t>
      </w:r>
    </w:p>
    <w:p w:rsidR="009219BF" w:rsidRDefault="009219BF" w:rsidP="009219BF">
      <w:pPr>
        <w:jc w:val="center"/>
        <w:rPr>
          <w:i/>
          <w:iCs/>
          <w:sz w:val="32"/>
          <w:szCs w:val="32"/>
        </w:rPr>
      </w:pPr>
    </w:p>
    <w:p w:rsidR="009219BF" w:rsidRPr="009219BF" w:rsidRDefault="00B40E2A" w:rsidP="009219BF">
      <w:pPr>
        <w:jc w:val="center"/>
        <w:rPr>
          <w:rFonts w:asciiTheme="minorHAnsi" w:hAnsiTheme="minorHAnsi" w:cstheme="minorHAnsi"/>
          <w:i/>
          <w:iCs/>
          <w:sz w:val="32"/>
          <w:szCs w:val="32"/>
        </w:rPr>
      </w:pPr>
      <w:r>
        <w:rPr>
          <w:rFonts w:asciiTheme="minorHAnsi" w:hAnsiTheme="minorHAnsi" w:cstheme="minorHAnsi"/>
          <w:i/>
          <w:iCs/>
          <w:sz w:val="32"/>
          <w:szCs w:val="32"/>
        </w:rPr>
        <w:t>A</w:t>
      </w:r>
      <w:r w:rsidR="009219BF" w:rsidRPr="009219BF">
        <w:rPr>
          <w:rFonts w:asciiTheme="minorHAnsi" w:hAnsiTheme="minorHAnsi" w:cstheme="minorHAnsi"/>
          <w:i/>
          <w:iCs/>
          <w:sz w:val="32"/>
          <w:szCs w:val="32"/>
        </w:rPr>
        <w:t xml:space="preserve">s of </w:t>
      </w:r>
      <w:r w:rsidR="001C3211">
        <w:rPr>
          <w:rFonts w:asciiTheme="minorHAnsi" w:hAnsiTheme="minorHAnsi" w:cstheme="minorHAnsi"/>
          <w:i/>
          <w:iCs/>
          <w:sz w:val="32"/>
          <w:szCs w:val="32"/>
        </w:rPr>
        <w:t>4/</w:t>
      </w:r>
      <w:r>
        <w:rPr>
          <w:rFonts w:asciiTheme="minorHAnsi" w:hAnsiTheme="minorHAnsi" w:cstheme="minorHAnsi"/>
          <w:i/>
          <w:iCs/>
          <w:sz w:val="32"/>
          <w:szCs w:val="32"/>
        </w:rPr>
        <w:t>7</w:t>
      </w:r>
      <w:r w:rsidR="009219BF" w:rsidRPr="009219BF">
        <w:rPr>
          <w:rFonts w:asciiTheme="minorHAnsi" w:hAnsiTheme="minorHAnsi" w:cstheme="minorHAnsi"/>
          <w:i/>
          <w:iCs/>
          <w:sz w:val="32"/>
          <w:szCs w:val="32"/>
        </w:rPr>
        <w:t>/2020</w:t>
      </w:r>
    </w:p>
    <w:p w:rsidR="009219BF" w:rsidRDefault="009219BF" w:rsidP="009219BF">
      <w:pPr>
        <w:jc w:val="center"/>
      </w:pPr>
      <w:r>
        <w:t xml:space="preserve"> </w:t>
      </w:r>
    </w:p>
    <w:p w:rsidR="009219BF" w:rsidRDefault="009219BF" w:rsidP="009219BF">
      <w:pPr>
        <w:jc w:val="center"/>
      </w:pPr>
    </w:p>
    <w:p w:rsidR="009219BF" w:rsidRPr="00A67DCA" w:rsidRDefault="009219BF" w:rsidP="009219BF">
      <w:pPr>
        <w:jc w:val="center"/>
      </w:pPr>
    </w:p>
    <w:p w:rsidR="009219BF" w:rsidRDefault="00B40E2A" w:rsidP="009219BF">
      <w:pPr>
        <w:ind w:left="360" w:hanging="360"/>
        <w:jc w:val="center"/>
        <w:rPr>
          <w:b/>
          <w:bCs/>
          <w:sz w:val="32"/>
          <w:szCs w:val="32"/>
        </w:rPr>
      </w:pPr>
      <w:r w:rsidRPr="00C9201F">
        <w:rPr>
          <w:b/>
          <w:bCs/>
          <w:noProof/>
          <w:sz w:val="32"/>
          <w:szCs w:val="32"/>
        </w:rPr>
        <mc:AlternateContent>
          <mc:Choice Requires="wps">
            <w:drawing>
              <wp:anchor distT="45720" distB="45720" distL="114300" distR="114300" simplePos="0" relativeHeight="251659264" behindDoc="0" locked="0" layoutInCell="1" allowOverlap="1" wp14:anchorId="2ABAA963" wp14:editId="560112B4">
                <wp:simplePos x="0" y="0"/>
                <wp:positionH relativeFrom="margin">
                  <wp:posOffset>1285875</wp:posOffset>
                </wp:positionH>
                <wp:positionV relativeFrom="paragraph">
                  <wp:posOffset>92710</wp:posOffset>
                </wp:positionV>
                <wp:extent cx="4267200" cy="9048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04875"/>
                        </a:xfrm>
                        <a:prstGeom prst="rect">
                          <a:avLst/>
                        </a:prstGeom>
                        <a:solidFill>
                          <a:srgbClr val="FFFFFF"/>
                        </a:solidFill>
                        <a:ln w="9525">
                          <a:solidFill>
                            <a:srgbClr val="000000"/>
                          </a:solidFill>
                          <a:miter lim="800000"/>
                          <a:headEnd/>
                          <a:tailEnd/>
                        </a:ln>
                      </wps:spPr>
                      <wps:txbx>
                        <w:txbxContent>
                          <w:p w:rsidR="003807A7" w:rsidRPr="003807A7" w:rsidRDefault="009219BF" w:rsidP="009219BF">
                            <w:pPr>
                              <w:jc w:val="center"/>
                              <w:rPr>
                                <w:rFonts w:asciiTheme="minorHAnsi" w:hAnsiTheme="minorHAnsi" w:cstheme="minorHAnsi"/>
                                <w:i/>
                                <w:iCs/>
                              </w:rPr>
                            </w:pPr>
                            <w:r w:rsidRPr="003807A7">
                              <w:rPr>
                                <w:rFonts w:asciiTheme="minorHAnsi" w:hAnsiTheme="minorHAnsi" w:cstheme="minorHAnsi"/>
                                <w:b/>
                                <w:bCs/>
                                <w:i/>
                                <w:iCs/>
                              </w:rPr>
                              <w:t>Important</w:t>
                            </w:r>
                            <w:r w:rsidRPr="003807A7">
                              <w:rPr>
                                <w:rFonts w:asciiTheme="minorHAnsi" w:hAnsiTheme="minorHAnsi" w:cstheme="minorHAnsi"/>
                                <w:i/>
                                <w:iCs/>
                              </w:rPr>
                              <w:t>:  Th</w:t>
                            </w:r>
                            <w:r w:rsidR="00CA1617" w:rsidRPr="003807A7">
                              <w:rPr>
                                <w:rFonts w:asciiTheme="minorHAnsi" w:hAnsiTheme="minorHAnsi" w:cstheme="minorHAnsi"/>
                                <w:i/>
                                <w:iCs/>
                              </w:rPr>
                              <w:t>is is an evolving document, and will be update</w:t>
                            </w:r>
                            <w:r w:rsidR="003807A7" w:rsidRPr="003807A7">
                              <w:rPr>
                                <w:rFonts w:asciiTheme="minorHAnsi" w:hAnsiTheme="minorHAnsi" w:cstheme="minorHAnsi"/>
                                <w:i/>
                                <w:iCs/>
                              </w:rPr>
                              <w:t>d</w:t>
                            </w:r>
                            <w:r w:rsidR="00CA1617" w:rsidRPr="003807A7">
                              <w:rPr>
                                <w:rFonts w:asciiTheme="minorHAnsi" w:hAnsiTheme="minorHAnsi" w:cstheme="minorHAnsi"/>
                                <w:i/>
                                <w:iCs/>
                              </w:rPr>
                              <w:t xml:space="preserve"> as new information becomes available.  </w:t>
                            </w:r>
                          </w:p>
                          <w:p w:rsidR="009219BF" w:rsidRPr="003807A7" w:rsidRDefault="003807A7" w:rsidP="009219BF">
                            <w:pPr>
                              <w:jc w:val="center"/>
                              <w:rPr>
                                <w:rFonts w:asciiTheme="minorHAnsi" w:hAnsiTheme="minorHAnsi" w:cstheme="minorHAnsi"/>
                                <w:i/>
                                <w:iCs/>
                              </w:rPr>
                            </w:pPr>
                            <w:r w:rsidRPr="003807A7">
                              <w:rPr>
                                <w:rFonts w:asciiTheme="minorHAnsi" w:hAnsiTheme="minorHAnsi" w:cstheme="minorHAnsi"/>
                                <w:i/>
                                <w:iCs/>
                              </w:rPr>
                              <w:t xml:space="preserve">The  most up-to-date </w:t>
                            </w:r>
                            <w:r w:rsidR="009219BF" w:rsidRPr="003807A7">
                              <w:rPr>
                                <w:rFonts w:asciiTheme="minorHAnsi" w:hAnsiTheme="minorHAnsi" w:cstheme="minorHAnsi"/>
                                <w:i/>
                                <w:iCs/>
                              </w:rPr>
                              <w:t xml:space="preserve">version of this document will </w:t>
                            </w:r>
                            <w:r w:rsidRPr="003807A7">
                              <w:rPr>
                                <w:rFonts w:asciiTheme="minorHAnsi" w:hAnsiTheme="minorHAnsi" w:cstheme="minorHAnsi"/>
                                <w:i/>
                                <w:iCs/>
                              </w:rPr>
                              <w:t xml:space="preserve">always be available on </w:t>
                            </w:r>
                            <w:r w:rsidR="009219BF" w:rsidRPr="003807A7">
                              <w:rPr>
                                <w:rFonts w:asciiTheme="minorHAnsi" w:hAnsiTheme="minorHAnsi" w:cstheme="minorHAnsi"/>
                                <w:i/>
                                <w:iCs/>
                              </w:rPr>
                              <w:t xml:space="preserve">the NACHC COVID webpage and Noddlepod.  </w:t>
                            </w:r>
                          </w:p>
                          <w:p w:rsidR="009219BF" w:rsidRPr="00C9201F" w:rsidRDefault="009219BF" w:rsidP="009219BF">
                            <w:pPr>
                              <w:jc w:val="cente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BAA963" id="_x0000_t202" coordsize="21600,21600" o:spt="202" path="m,l,21600r21600,l21600,xe">
                <v:stroke joinstyle="miter"/>
                <v:path gradientshapeok="t" o:connecttype="rect"/>
              </v:shapetype>
              <v:shape id="Text Box 4" o:spid="_x0000_s1026" type="#_x0000_t202" style="position:absolute;left:0;text-align:left;margin-left:101.25pt;margin-top:7.3pt;width:336pt;height:7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">
                <v:textbox>
                  <w:txbxContent>
                    <w:p w:rsidR="003807A7" w:rsidRPr="003807A7" w:rsidRDefault="009219BF" w:rsidP="009219BF">
                      <w:pPr>
                        <w:jc w:val="center"/>
                        <w:rPr>
                          <w:rFonts w:asciiTheme="minorHAnsi" w:hAnsiTheme="minorHAnsi" w:cstheme="minorHAnsi"/>
                          <w:i/>
                          <w:iCs/>
                        </w:rPr>
                      </w:pPr>
                      <w:r w:rsidRPr="003807A7">
                        <w:rPr>
                          <w:rFonts w:asciiTheme="minorHAnsi" w:hAnsiTheme="minorHAnsi" w:cstheme="minorHAnsi"/>
                          <w:b/>
                          <w:bCs/>
                          <w:i/>
                          <w:iCs/>
                        </w:rPr>
                        <w:t>Important</w:t>
                      </w:r>
                      <w:r w:rsidRPr="003807A7">
                        <w:rPr>
                          <w:rFonts w:asciiTheme="minorHAnsi" w:hAnsiTheme="minorHAnsi" w:cstheme="minorHAnsi"/>
                          <w:i/>
                          <w:iCs/>
                        </w:rPr>
                        <w:t>:  Th</w:t>
                      </w:r>
                      <w:r w:rsidR="00CA1617" w:rsidRPr="003807A7">
                        <w:rPr>
                          <w:rFonts w:asciiTheme="minorHAnsi" w:hAnsiTheme="minorHAnsi" w:cstheme="minorHAnsi"/>
                          <w:i/>
                          <w:iCs/>
                        </w:rPr>
                        <w:t>is is an evolving document, and will be update</w:t>
                      </w:r>
                      <w:r w:rsidR="003807A7" w:rsidRPr="003807A7">
                        <w:rPr>
                          <w:rFonts w:asciiTheme="minorHAnsi" w:hAnsiTheme="minorHAnsi" w:cstheme="minorHAnsi"/>
                          <w:i/>
                          <w:iCs/>
                        </w:rPr>
                        <w:t>d</w:t>
                      </w:r>
                      <w:r w:rsidR="00CA1617" w:rsidRPr="003807A7">
                        <w:rPr>
                          <w:rFonts w:asciiTheme="minorHAnsi" w:hAnsiTheme="minorHAnsi" w:cstheme="minorHAnsi"/>
                          <w:i/>
                          <w:iCs/>
                        </w:rPr>
                        <w:t xml:space="preserve"> as new information becomes available.  </w:t>
                      </w:r>
                    </w:p>
                    <w:p w:rsidR="009219BF" w:rsidRPr="003807A7" w:rsidRDefault="003807A7" w:rsidP="009219BF">
                      <w:pPr>
                        <w:jc w:val="center"/>
                        <w:rPr>
                          <w:rFonts w:asciiTheme="minorHAnsi" w:hAnsiTheme="minorHAnsi" w:cstheme="minorHAnsi"/>
                          <w:i/>
                          <w:iCs/>
                        </w:rPr>
                      </w:pPr>
                      <w:r w:rsidRPr="003807A7">
                        <w:rPr>
                          <w:rFonts w:asciiTheme="minorHAnsi" w:hAnsiTheme="minorHAnsi" w:cstheme="minorHAnsi"/>
                          <w:i/>
                          <w:iCs/>
                        </w:rPr>
                        <w:t xml:space="preserve">The  most up-to-date </w:t>
                      </w:r>
                      <w:r w:rsidR="009219BF" w:rsidRPr="003807A7">
                        <w:rPr>
                          <w:rFonts w:asciiTheme="minorHAnsi" w:hAnsiTheme="minorHAnsi" w:cstheme="minorHAnsi"/>
                          <w:i/>
                          <w:iCs/>
                        </w:rPr>
                        <w:t xml:space="preserve">version of this document will </w:t>
                      </w:r>
                      <w:r w:rsidRPr="003807A7">
                        <w:rPr>
                          <w:rFonts w:asciiTheme="minorHAnsi" w:hAnsiTheme="minorHAnsi" w:cstheme="minorHAnsi"/>
                          <w:i/>
                          <w:iCs/>
                        </w:rPr>
                        <w:t xml:space="preserve">always be available on </w:t>
                      </w:r>
                      <w:r w:rsidR="009219BF" w:rsidRPr="003807A7">
                        <w:rPr>
                          <w:rFonts w:asciiTheme="minorHAnsi" w:hAnsiTheme="minorHAnsi" w:cstheme="minorHAnsi"/>
                          <w:i/>
                          <w:iCs/>
                        </w:rPr>
                        <w:t xml:space="preserve">the NACHC COVID webpage and Noddlepod.  </w:t>
                      </w:r>
                    </w:p>
                    <w:p w:rsidR="009219BF" w:rsidRPr="00C9201F" w:rsidRDefault="009219BF" w:rsidP="009219BF">
                      <w:pPr>
                        <w:jc w:val="center"/>
                        <w:rPr>
                          <w:i/>
                          <w:iCs/>
                        </w:rPr>
                      </w:pPr>
                    </w:p>
                  </w:txbxContent>
                </v:textbox>
                <w10:wrap type="square" anchorx="margin"/>
              </v:shape>
            </w:pict>
          </mc:Fallback>
        </mc:AlternateContent>
      </w:r>
    </w:p>
    <w:p w:rsidR="009219BF" w:rsidRDefault="009219BF" w:rsidP="009219BF">
      <w:pPr>
        <w:pStyle w:val="ListParagraph"/>
        <w:spacing w:after="0"/>
        <w:ind w:left="360"/>
        <w:rPr>
          <w:b/>
          <w:bCs/>
          <w:sz w:val="24"/>
          <w:szCs w:val="24"/>
        </w:rPr>
      </w:pPr>
      <w:r>
        <w:rPr>
          <w:b/>
          <w:bCs/>
          <w:sz w:val="24"/>
          <w:szCs w:val="24"/>
        </w:rPr>
        <w:t xml:space="preserve"> </w:t>
      </w:r>
    </w:p>
    <w:p w:rsidR="009219BF" w:rsidRDefault="009219BF" w:rsidP="009219BF">
      <w:pPr>
        <w:pStyle w:val="ListParagraph"/>
        <w:spacing w:after="0"/>
        <w:ind w:left="360"/>
        <w:rPr>
          <w:b/>
          <w:bCs/>
          <w:sz w:val="24"/>
          <w:szCs w:val="24"/>
        </w:rPr>
      </w:pPr>
    </w:p>
    <w:p w:rsidR="009219BF" w:rsidRDefault="009219BF" w:rsidP="009219BF">
      <w:pPr>
        <w:pStyle w:val="ListParagraph"/>
        <w:spacing w:after="0"/>
        <w:ind w:left="360"/>
        <w:rPr>
          <w:b/>
          <w:bCs/>
          <w:sz w:val="24"/>
          <w:szCs w:val="24"/>
        </w:rPr>
      </w:pPr>
    </w:p>
    <w:p w:rsidR="009219BF" w:rsidRDefault="009219BF" w:rsidP="009219BF">
      <w:pPr>
        <w:pStyle w:val="ListParagraph"/>
        <w:spacing w:after="0"/>
        <w:ind w:left="360"/>
        <w:rPr>
          <w:b/>
          <w:bCs/>
          <w:sz w:val="24"/>
          <w:szCs w:val="24"/>
        </w:rPr>
      </w:pPr>
    </w:p>
    <w:p w:rsidR="009219BF" w:rsidRDefault="009219BF" w:rsidP="009219BF">
      <w:pPr>
        <w:pStyle w:val="ListParagraph"/>
        <w:spacing w:after="0"/>
        <w:ind w:left="360"/>
        <w:rPr>
          <w:b/>
          <w:bCs/>
          <w:sz w:val="24"/>
          <w:szCs w:val="24"/>
        </w:rPr>
      </w:pPr>
    </w:p>
    <w:p w:rsidR="009219BF" w:rsidRDefault="009219BF" w:rsidP="009219BF">
      <w:pPr>
        <w:pStyle w:val="ListParagraph"/>
        <w:spacing w:after="0"/>
        <w:ind w:left="360"/>
        <w:rPr>
          <w:b/>
          <w:bCs/>
          <w:sz w:val="24"/>
          <w:szCs w:val="24"/>
        </w:rPr>
      </w:pPr>
    </w:p>
    <w:p w:rsidR="009219BF" w:rsidRDefault="009219BF" w:rsidP="009219BF">
      <w:pPr>
        <w:pStyle w:val="ListParagraph"/>
        <w:spacing w:after="0"/>
        <w:ind w:left="360"/>
        <w:rPr>
          <w:b/>
          <w:bCs/>
          <w:sz w:val="24"/>
          <w:szCs w:val="24"/>
        </w:rPr>
      </w:pPr>
    </w:p>
    <w:p w:rsidR="009219BF" w:rsidRDefault="009219BF" w:rsidP="009219BF">
      <w:pPr>
        <w:pStyle w:val="ListParagraph"/>
        <w:spacing w:after="0"/>
        <w:ind w:left="360"/>
        <w:jc w:val="center"/>
        <w:rPr>
          <w:i/>
          <w:iCs/>
          <w:sz w:val="24"/>
          <w:szCs w:val="24"/>
        </w:rPr>
      </w:pPr>
    </w:p>
    <w:p w:rsidR="009219BF" w:rsidRDefault="009219BF" w:rsidP="009219BF">
      <w:pPr>
        <w:pStyle w:val="ListParagraph"/>
        <w:spacing w:after="0"/>
        <w:ind w:left="360"/>
        <w:jc w:val="center"/>
        <w:rPr>
          <w:i/>
          <w:iCs/>
          <w:sz w:val="24"/>
          <w:szCs w:val="24"/>
        </w:rPr>
      </w:pPr>
    </w:p>
    <w:p w:rsidR="009219BF" w:rsidRDefault="009219BF" w:rsidP="009219BF">
      <w:pPr>
        <w:pStyle w:val="ListParagraph"/>
        <w:spacing w:after="0"/>
        <w:ind w:left="360"/>
        <w:jc w:val="center"/>
        <w:rPr>
          <w:i/>
          <w:iCs/>
          <w:sz w:val="24"/>
          <w:szCs w:val="24"/>
        </w:rPr>
      </w:pPr>
    </w:p>
    <w:p w:rsidR="009219BF" w:rsidRDefault="009219BF" w:rsidP="009219BF">
      <w:pPr>
        <w:pStyle w:val="ListParagraph"/>
        <w:spacing w:after="0"/>
        <w:ind w:left="360"/>
        <w:jc w:val="center"/>
        <w:rPr>
          <w:i/>
          <w:iCs/>
          <w:sz w:val="24"/>
          <w:szCs w:val="24"/>
        </w:rPr>
      </w:pPr>
    </w:p>
    <w:p w:rsidR="009219BF" w:rsidRDefault="009219BF" w:rsidP="009219BF">
      <w:pPr>
        <w:pStyle w:val="ListParagraph"/>
        <w:spacing w:after="0"/>
        <w:ind w:left="360"/>
        <w:jc w:val="center"/>
        <w:rPr>
          <w:i/>
          <w:iCs/>
          <w:sz w:val="24"/>
          <w:szCs w:val="24"/>
        </w:rPr>
      </w:pPr>
    </w:p>
    <w:p w:rsidR="009219BF" w:rsidRDefault="009219BF" w:rsidP="009219BF">
      <w:pPr>
        <w:pStyle w:val="ListParagraph"/>
        <w:spacing w:after="0"/>
        <w:ind w:left="360"/>
        <w:jc w:val="center"/>
        <w:rPr>
          <w:i/>
          <w:iCs/>
          <w:sz w:val="24"/>
          <w:szCs w:val="24"/>
        </w:rPr>
      </w:pPr>
    </w:p>
    <w:p w:rsidR="009219BF" w:rsidRDefault="009219BF" w:rsidP="009219BF">
      <w:pPr>
        <w:pStyle w:val="ListParagraph"/>
        <w:spacing w:after="0"/>
        <w:ind w:left="360"/>
        <w:jc w:val="center"/>
        <w:rPr>
          <w:i/>
          <w:iCs/>
          <w:sz w:val="24"/>
          <w:szCs w:val="24"/>
        </w:rPr>
      </w:pPr>
    </w:p>
    <w:p w:rsidR="009219BF" w:rsidRDefault="009219BF" w:rsidP="009219BF">
      <w:pPr>
        <w:pStyle w:val="ListParagraph"/>
        <w:spacing w:after="0"/>
        <w:ind w:left="360"/>
        <w:jc w:val="center"/>
        <w:rPr>
          <w:i/>
          <w:iCs/>
          <w:sz w:val="24"/>
          <w:szCs w:val="24"/>
        </w:rPr>
      </w:pPr>
    </w:p>
    <w:p w:rsidR="009219BF" w:rsidRPr="00105240" w:rsidRDefault="009219BF" w:rsidP="009219BF">
      <w:pPr>
        <w:pStyle w:val="ListParagraph"/>
        <w:spacing w:after="0"/>
        <w:ind w:left="360"/>
        <w:jc w:val="center"/>
        <w:rPr>
          <w:i/>
          <w:iCs/>
          <w:sz w:val="24"/>
          <w:szCs w:val="24"/>
        </w:rPr>
      </w:pPr>
      <w:r w:rsidRPr="00105240">
        <w:rPr>
          <w:i/>
          <w:iCs/>
          <w:sz w:val="24"/>
          <w:szCs w:val="24"/>
        </w:rPr>
        <w:t xml:space="preserve">Please contact Colleen Meiman at </w:t>
      </w:r>
      <w:hyperlink r:id="rId9" w:history="1">
        <w:r w:rsidRPr="00105240">
          <w:rPr>
            <w:rStyle w:val="Hyperlink"/>
            <w:i/>
            <w:iCs/>
          </w:rPr>
          <w:t>cmeiman@nachc.org</w:t>
        </w:r>
      </w:hyperlink>
      <w:r w:rsidRPr="00105240">
        <w:rPr>
          <w:i/>
          <w:iCs/>
          <w:sz w:val="24"/>
          <w:szCs w:val="24"/>
        </w:rPr>
        <w:t xml:space="preserve"> with questions.</w:t>
      </w:r>
    </w:p>
    <w:p w:rsidR="009219BF" w:rsidRDefault="009219BF" w:rsidP="009219BF">
      <w:pPr>
        <w:pStyle w:val="ListParagraph"/>
        <w:spacing w:after="0"/>
        <w:ind w:left="360"/>
        <w:rPr>
          <w:b/>
          <w:bCs/>
          <w:sz w:val="24"/>
          <w:szCs w:val="24"/>
        </w:rPr>
      </w:pPr>
    </w:p>
    <w:p w:rsidR="009219BF" w:rsidRDefault="009219BF" w:rsidP="009219BF">
      <w:pPr>
        <w:pStyle w:val="ListParagraph"/>
        <w:spacing w:after="0"/>
        <w:ind w:left="360"/>
        <w:rPr>
          <w:b/>
          <w:bCs/>
          <w:sz w:val="24"/>
          <w:szCs w:val="24"/>
        </w:rPr>
      </w:pPr>
    </w:p>
    <w:p w:rsidR="009219BF" w:rsidRDefault="009219BF">
      <w:pPr>
        <w:rPr>
          <w:rFonts w:ascii="Calibri" w:eastAsia="Calibri" w:hAnsi="Calibri" w:cs="Calibri"/>
          <w:b/>
          <w:bCs/>
          <w:u w:val="single"/>
        </w:rPr>
      </w:pPr>
    </w:p>
    <w:p w:rsidR="009219BF" w:rsidRDefault="009219BF">
      <w:pPr>
        <w:rPr>
          <w:rFonts w:ascii="Calibri" w:eastAsia="Calibri" w:hAnsi="Calibri" w:cs="Calibri"/>
          <w:b/>
          <w:bCs/>
          <w:u w:val="single"/>
        </w:rPr>
      </w:pPr>
      <w:r>
        <w:rPr>
          <w:rFonts w:ascii="Calibri" w:eastAsia="Calibri" w:hAnsi="Calibri" w:cs="Calibri"/>
          <w:b/>
          <w:bCs/>
          <w:u w:val="single"/>
        </w:rPr>
        <w:br w:type="page"/>
      </w:r>
    </w:p>
    <w:p w:rsidR="00AD6A46" w:rsidRDefault="00AD6A46" w:rsidP="00AD6A46">
      <w:pPr>
        <w:ind w:right="630"/>
        <w:rPr>
          <w:rFonts w:asciiTheme="minorHAnsi" w:hAnsiTheme="minorHAnsi" w:cstheme="minorHAnsi"/>
        </w:rPr>
      </w:pPr>
    </w:p>
    <w:p w:rsidR="00E34C5E" w:rsidRDefault="00E34C5E" w:rsidP="00E34C5E">
      <w:pPr>
        <w:pStyle w:val="Heading1"/>
      </w:pPr>
    </w:p>
    <w:p w:rsidR="00AD6A46" w:rsidRDefault="00AD6A46" w:rsidP="00E34C5E">
      <w:pPr>
        <w:pStyle w:val="Heading1"/>
      </w:pPr>
      <w:r>
        <w:t>Introduction</w:t>
      </w:r>
    </w:p>
    <w:p w:rsidR="00AD6A46" w:rsidRDefault="00AD6A46" w:rsidP="00AD6A46">
      <w:pPr>
        <w:ind w:right="630"/>
        <w:rPr>
          <w:rFonts w:asciiTheme="minorHAnsi" w:hAnsiTheme="minorHAnsi" w:cstheme="minorHAnsi"/>
        </w:rPr>
      </w:pPr>
    </w:p>
    <w:p w:rsidR="00E34C5E" w:rsidRDefault="00E34C5E" w:rsidP="00AD6A46">
      <w:pPr>
        <w:ind w:right="630"/>
        <w:rPr>
          <w:rFonts w:asciiTheme="minorHAnsi" w:hAnsiTheme="minorHAnsi" w:cstheme="minorHAnsi"/>
        </w:rPr>
      </w:pPr>
    </w:p>
    <w:p w:rsidR="00AD6A46" w:rsidRDefault="007A2F6E" w:rsidP="00AD6A46">
      <w:pPr>
        <w:rPr>
          <w:rFonts w:ascii="Calibri" w:eastAsia="Calibri" w:hAnsi="Calibri" w:cs="Calibri"/>
        </w:rPr>
      </w:pPr>
      <w:r>
        <w:rPr>
          <w:rFonts w:ascii="Calibri" w:eastAsia="Calibri" w:hAnsi="Calibri" w:cs="Calibri"/>
        </w:rPr>
        <w:t>As</w:t>
      </w:r>
      <w:r w:rsidR="00AD6A46" w:rsidRPr="00377491">
        <w:rPr>
          <w:rFonts w:ascii="Calibri" w:eastAsia="Calibri" w:hAnsi="Calibri" w:cs="Calibri"/>
        </w:rPr>
        <w:t xml:space="preserve"> health centers play a crucial role in responding to the COVID-19 pandemic, many are encountering severe and unprecedented drops in short-term revenue</w:t>
      </w:r>
      <w:r w:rsidR="00574FCE" w:rsidRPr="00377491">
        <w:rPr>
          <w:rFonts w:ascii="Calibri" w:eastAsia="Calibri" w:hAnsi="Calibri" w:cs="Calibri"/>
        </w:rPr>
        <w:t xml:space="preserve">, due to </w:t>
      </w:r>
      <w:r w:rsidR="00AD6A46" w:rsidRPr="00377491">
        <w:rPr>
          <w:rFonts w:ascii="Calibri" w:eastAsia="Calibri" w:hAnsi="Calibri" w:cs="Calibri"/>
        </w:rPr>
        <w:t>sharp decreases in routine visits as patients shelter in place</w:t>
      </w:r>
      <w:r w:rsidR="00574FCE" w:rsidRPr="00377491">
        <w:rPr>
          <w:rFonts w:ascii="Calibri" w:eastAsia="Calibri" w:hAnsi="Calibri" w:cs="Calibri"/>
        </w:rPr>
        <w:t>,</w:t>
      </w:r>
      <w:r w:rsidR="00377491" w:rsidRPr="00377491">
        <w:rPr>
          <w:rFonts w:ascii="Calibri" w:eastAsia="Calibri" w:hAnsi="Calibri" w:cs="Calibri"/>
        </w:rPr>
        <w:t xml:space="preserve"> and </w:t>
      </w:r>
      <w:r w:rsidR="00574FCE" w:rsidRPr="00377491">
        <w:rPr>
          <w:rFonts w:ascii="Calibri" w:eastAsia="Calibri" w:hAnsi="Calibri" w:cs="Calibri"/>
        </w:rPr>
        <w:t xml:space="preserve">the need to </w:t>
      </w:r>
      <w:r w:rsidR="00AD6A46" w:rsidRPr="00377491">
        <w:rPr>
          <w:rFonts w:ascii="Calibri" w:eastAsia="Calibri" w:hAnsi="Calibri" w:cs="Calibri"/>
        </w:rPr>
        <w:t xml:space="preserve">reduce or stop </w:t>
      </w:r>
      <w:r w:rsidR="00574FCE" w:rsidRPr="00377491">
        <w:rPr>
          <w:rFonts w:ascii="Calibri" w:eastAsia="Calibri" w:hAnsi="Calibri" w:cs="Calibri"/>
        </w:rPr>
        <w:t xml:space="preserve">some services </w:t>
      </w:r>
      <w:r w:rsidR="00AD6A46" w:rsidRPr="00377491">
        <w:rPr>
          <w:rFonts w:ascii="Calibri" w:eastAsia="Calibri" w:hAnsi="Calibri" w:cs="Calibri"/>
        </w:rPr>
        <w:t xml:space="preserve">in order to divert PPE and other resource to COVID-19 efforts. </w:t>
      </w:r>
      <w:r w:rsidR="00574FCE" w:rsidRPr="00377491">
        <w:rPr>
          <w:rFonts w:ascii="Calibri" w:eastAsia="Calibri" w:hAnsi="Calibri" w:cs="Calibri"/>
        </w:rPr>
        <w:t xml:space="preserve"> As h</w:t>
      </w:r>
      <w:r w:rsidR="00AD6A46" w:rsidRPr="00377491">
        <w:rPr>
          <w:rFonts w:ascii="Calibri" w:eastAsia="Calibri" w:hAnsi="Calibri" w:cs="Calibri"/>
        </w:rPr>
        <w:t>ealth center</w:t>
      </w:r>
      <w:r w:rsidR="00377491" w:rsidRPr="00377491">
        <w:rPr>
          <w:rFonts w:ascii="Calibri" w:eastAsia="Calibri" w:hAnsi="Calibri" w:cs="Calibri"/>
        </w:rPr>
        <w:t>s’</w:t>
      </w:r>
      <w:r w:rsidR="00AD6A46" w:rsidRPr="00377491">
        <w:rPr>
          <w:rFonts w:ascii="Calibri" w:eastAsia="Calibri" w:hAnsi="Calibri" w:cs="Calibri"/>
        </w:rPr>
        <w:t xml:space="preserve"> cash reserves </w:t>
      </w:r>
      <w:r w:rsidR="00574FCE" w:rsidRPr="00377491">
        <w:rPr>
          <w:rFonts w:ascii="Calibri" w:eastAsia="Calibri" w:hAnsi="Calibri" w:cs="Calibri"/>
        </w:rPr>
        <w:t xml:space="preserve">drop, </w:t>
      </w:r>
      <w:r w:rsidR="00AD6A46" w:rsidRPr="00377491">
        <w:rPr>
          <w:rFonts w:ascii="Calibri" w:eastAsia="Calibri" w:hAnsi="Calibri" w:cs="Calibri"/>
        </w:rPr>
        <w:t>many now face difficult decisions on how to meet payroll or other financial obligations. This document provides a</w:t>
      </w:r>
      <w:r w:rsidR="00377491" w:rsidRPr="00377491">
        <w:rPr>
          <w:rFonts w:ascii="Calibri" w:eastAsia="Calibri" w:hAnsi="Calibri" w:cs="Calibri"/>
        </w:rPr>
        <w:t xml:space="preserve">n </w:t>
      </w:r>
      <w:r w:rsidR="00AD6A46" w:rsidRPr="00377491">
        <w:rPr>
          <w:rFonts w:ascii="Calibri" w:eastAsia="Calibri" w:hAnsi="Calibri" w:cs="Calibri"/>
        </w:rPr>
        <w:t xml:space="preserve">overview of </w:t>
      </w:r>
      <w:r w:rsidR="00574FCE" w:rsidRPr="00377491">
        <w:rPr>
          <w:rFonts w:ascii="Calibri" w:eastAsia="Calibri" w:hAnsi="Calibri" w:cs="Calibri"/>
        </w:rPr>
        <w:t xml:space="preserve">new </w:t>
      </w:r>
      <w:r w:rsidR="00377491" w:rsidRPr="00377491">
        <w:rPr>
          <w:rFonts w:ascii="Calibri" w:eastAsia="Calibri" w:hAnsi="Calibri" w:cs="Calibri"/>
        </w:rPr>
        <w:t>program</w:t>
      </w:r>
      <w:r w:rsidR="00E34C5E">
        <w:rPr>
          <w:rFonts w:ascii="Calibri" w:eastAsia="Calibri" w:hAnsi="Calibri" w:cs="Calibri"/>
        </w:rPr>
        <w:t>s</w:t>
      </w:r>
      <w:r w:rsidR="00AD6A46" w:rsidRPr="00377491">
        <w:rPr>
          <w:rFonts w:ascii="Calibri" w:eastAsia="Calibri" w:hAnsi="Calibri" w:cs="Calibri"/>
        </w:rPr>
        <w:t xml:space="preserve"> that health centers </w:t>
      </w:r>
      <w:r w:rsidR="00574FCE" w:rsidRPr="00377491">
        <w:rPr>
          <w:rFonts w:ascii="Calibri" w:eastAsia="Calibri" w:hAnsi="Calibri" w:cs="Calibri"/>
        </w:rPr>
        <w:t>– as well as PCAs, HCCNs, and NTTAPs</w:t>
      </w:r>
      <w:r w:rsidR="00250AA1">
        <w:rPr>
          <w:rStyle w:val="FootnoteReference"/>
          <w:rFonts w:ascii="Calibri" w:eastAsia="Calibri" w:hAnsi="Calibri" w:cs="Calibri"/>
        </w:rPr>
        <w:footnoteReference w:id="1"/>
      </w:r>
      <w:r w:rsidR="00574FCE" w:rsidRPr="00377491">
        <w:rPr>
          <w:rFonts w:ascii="Calibri" w:eastAsia="Calibri" w:hAnsi="Calibri" w:cs="Calibri"/>
        </w:rPr>
        <w:t xml:space="preserve"> - </w:t>
      </w:r>
      <w:r w:rsidR="00AD6A46" w:rsidRPr="00377491">
        <w:rPr>
          <w:rFonts w:ascii="Calibri" w:eastAsia="Calibri" w:hAnsi="Calibri" w:cs="Calibri"/>
        </w:rPr>
        <w:t>can tap to cover revenue shortfalls and to help their employees make ends meet during this time.</w:t>
      </w:r>
    </w:p>
    <w:p w:rsidR="00901A13" w:rsidRDefault="00901A13" w:rsidP="00AD6A46">
      <w:pPr>
        <w:rPr>
          <w:rFonts w:ascii="Calibri" w:eastAsia="Calibri" w:hAnsi="Calibri" w:cs="Calibri"/>
        </w:rPr>
      </w:pPr>
    </w:p>
    <w:p w:rsidR="00901A13" w:rsidRPr="00377491" w:rsidRDefault="00901A13" w:rsidP="00AD6A46">
      <w:r>
        <w:rPr>
          <w:rFonts w:ascii="Calibri" w:eastAsia="Calibri" w:hAnsi="Calibri" w:cs="Calibri"/>
        </w:rPr>
        <w:t xml:space="preserve">The document begins with a </w:t>
      </w:r>
      <w:r w:rsidR="00C035FA">
        <w:rPr>
          <w:rFonts w:ascii="Calibri" w:eastAsia="Calibri" w:hAnsi="Calibri" w:cs="Calibri"/>
        </w:rPr>
        <w:t xml:space="preserve">chart summarizing </w:t>
      </w:r>
      <w:r>
        <w:rPr>
          <w:rFonts w:ascii="Calibri" w:eastAsia="Calibri" w:hAnsi="Calibri" w:cs="Calibri"/>
        </w:rPr>
        <w:t xml:space="preserve">the programs, </w:t>
      </w:r>
      <w:r w:rsidR="00C035FA">
        <w:rPr>
          <w:rFonts w:ascii="Calibri" w:eastAsia="Calibri" w:hAnsi="Calibri" w:cs="Calibri"/>
        </w:rPr>
        <w:t xml:space="preserve">and is </w:t>
      </w:r>
      <w:r>
        <w:rPr>
          <w:rFonts w:ascii="Calibri" w:eastAsia="Calibri" w:hAnsi="Calibri" w:cs="Calibri"/>
        </w:rPr>
        <w:t>followed by a</w:t>
      </w:r>
      <w:r w:rsidR="002574D9">
        <w:rPr>
          <w:rFonts w:ascii="Calibri" w:eastAsia="Calibri" w:hAnsi="Calibri" w:cs="Calibri"/>
        </w:rPr>
        <w:t xml:space="preserve">n </w:t>
      </w:r>
      <w:r w:rsidR="00C035FA">
        <w:rPr>
          <w:rFonts w:ascii="Calibri" w:eastAsia="Calibri" w:hAnsi="Calibri" w:cs="Calibri"/>
        </w:rPr>
        <w:t xml:space="preserve">overview </w:t>
      </w:r>
      <w:r>
        <w:rPr>
          <w:rFonts w:ascii="Calibri" w:eastAsia="Calibri" w:hAnsi="Calibri" w:cs="Calibri"/>
        </w:rPr>
        <w:t>of each</w:t>
      </w:r>
      <w:r w:rsidR="00C035FA">
        <w:rPr>
          <w:rFonts w:ascii="Calibri" w:eastAsia="Calibri" w:hAnsi="Calibri" w:cs="Calibri"/>
        </w:rPr>
        <w:t xml:space="preserve"> program</w:t>
      </w:r>
      <w:r>
        <w:rPr>
          <w:rFonts w:ascii="Calibri" w:eastAsia="Calibri" w:hAnsi="Calibri" w:cs="Calibri"/>
        </w:rPr>
        <w:t xml:space="preserve">. </w:t>
      </w:r>
    </w:p>
    <w:p w:rsidR="00AD6A46" w:rsidRPr="00377491" w:rsidRDefault="00AD6A46" w:rsidP="00AD6A46">
      <w:pPr>
        <w:ind w:right="630"/>
        <w:rPr>
          <w:rFonts w:asciiTheme="minorHAnsi" w:hAnsiTheme="minorHAnsi" w:cstheme="minorHAnsi"/>
        </w:rPr>
      </w:pPr>
    </w:p>
    <w:p w:rsidR="00901A13" w:rsidRDefault="00B40E2A" w:rsidP="00901A13">
      <w:pPr>
        <w:ind w:right="630"/>
        <w:rPr>
          <w:rFonts w:asciiTheme="minorHAnsi" w:hAnsiTheme="minorHAnsi" w:cstheme="minorHAnsi"/>
        </w:rPr>
      </w:pPr>
      <w:r>
        <w:rPr>
          <w:rFonts w:asciiTheme="minorHAnsi" w:hAnsiTheme="minorHAnsi" w:cstheme="minorHAnsi"/>
        </w:rPr>
        <w:t xml:space="preserve">There are important distinctions between the options available for health centers (and other organizations) with less than 500 employees, and those above 500 employees.  For example, Paycheck Protection Loans and Emergency Paid Leave are available only to health centers with fewer than 500 employees, while “Main Street Loans” will likely be available </w:t>
      </w:r>
      <w:r w:rsidR="002574D9">
        <w:rPr>
          <w:rFonts w:asciiTheme="minorHAnsi" w:hAnsiTheme="minorHAnsi" w:cstheme="minorHAnsi"/>
        </w:rPr>
        <w:t xml:space="preserve">only </w:t>
      </w:r>
      <w:r>
        <w:rPr>
          <w:rFonts w:asciiTheme="minorHAnsi" w:hAnsiTheme="minorHAnsi" w:cstheme="minorHAnsi"/>
        </w:rPr>
        <w:t>to health centers with over 500 employees.  Accordingly, NACHC has now created two separate documents on cashflow</w:t>
      </w:r>
      <w:r w:rsidR="002574D9">
        <w:rPr>
          <w:rFonts w:asciiTheme="minorHAnsi" w:hAnsiTheme="minorHAnsi" w:cstheme="minorHAnsi"/>
        </w:rPr>
        <w:t xml:space="preserve"> options for health centers</w:t>
      </w:r>
      <w:r>
        <w:rPr>
          <w:rFonts w:asciiTheme="minorHAnsi" w:hAnsiTheme="minorHAnsi" w:cstheme="minorHAnsi"/>
        </w:rPr>
        <w:t xml:space="preserve">, based on </w:t>
      </w:r>
      <w:r w:rsidR="002574D9">
        <w:rPr>
          <w:rFonts w:asciiTheme="minorHAnsi" w:hAnsiTheme="minorHAnsi" w:cstheme="minorHAnsi"/>
        </w:rPr>
        <w:t xml:space="preserve">the total number of </w:t>
      </w:r>
      <w:r>
        <w:rPr>
          <w:rFonts w:asciiTheme="minorHAnsi" w:hAnsiTheme="minorHAnsi" w:cstheme="minorHAnsi"/>
        </w:rPr>
        <w:t>health center</w:t>
      </w:r>
      <w:r w:rsidR="002574D9">
        <w:rPr>
          <w:rFonts w:asciiTheme="minorHAnsi" w:hAnsiTheme="minorHAnsi" w:cstheme="minorHAnsi"/>
        </w:rPr>
        <w:t xml:space="preserve"> employees. </w:t>
      </w:r>
    </w:p>
    <w:p w:rsidR="002574D9" w:rsidRDefault="002574D9" w:rsidP="00901A13">
      <w:pPr>
        <w:ind w:right="630"/>
        <w:rPr>
          <w:rFonts w:asciiTheme="minorHAnsi" w:hAnsiTheme="minorHAnsi" w:cstheme="minorHAnsi"/>
        </w:rPr>
      </w:pPr>
    </w:p>
    <w:p w:rsidR="007A2F6E" w:rsidRDefault="00901A13" w:rsidP="007A2F6E">
      <w:pPr>
        <w:rPr>
          <w:rFonts w:asciiTheme="minorHAnsi" w:hAnsiTheme="minorHAnsi" w:cstheme="minorHAnsi"/>
        </w:rPr>
      </w:pPr>
      <w:r>
        <w:rPr>
          <w:rFonts w:asciiTheme="minorHAnsi" w:hAnsiTheme="minorHAnsi" w:cstheme="minorHAnsi"/>
        </w:rPr>
        <w:t>Finally, as noted on the cover, this will be an evolving document</w:t>
      </w:r>
      <w:r w:rsidR="002574D9">
        <w:rPr>
          <w:rFonts w:asciiTheme="minorHAnsi" w:hAnsiTheme="minorHAnsi" w:cstheme="minorHAnsi"/>
        </w:rPr>
        <w:t xml:space="preserve">.  </w:t>
      </w:r>
      <w:r w:rsidR="007A2F6E" w:rsidRPr="007A2F6E">
        <w:rPr>
          <w:rFonts w:asciiTheme="minorHAnsi" w:hAnsiTheme="minorHAnsi" w:cstheme="minorHAnsi"/>
        </w:rPr>
        <w:t>The  most up-to-date version of this document will always be available on the NACHC COVID</w:t>
      </w:r>
      <w:r w:rsidR="002574D9">
        <w:rPr>
          <w:rFonts w:asciiTheme="minorHAnsi" w:hAnsiTheme="minorHAnsi" w:cstheme="minorHAnsi"/>
        </w:rPr>
        <w:t>-19</w:t>
      </w:r>
      <w:r w:rsidR="007A2F6E" w:rsidRPr="007A2F6E">
        <w:rPr>
          <w:rFonts w:asciiTheme="minorHAnsi" w:hAnsiTheme="minorHAnsi" w:cstheme="minorHAnsi"/>
        </w:rPr>
        <w:t xml:space="preserve"> webpage and Noddlepod.  </w:t>
      </w:r>
      <w:r w:rsidR="007A2F6E">
        <w:rPr>
          <w:rFonts w:asciiTheme="minorHAnsi" w:hAnsiTheme="minorHAnsi" w:cstheme="minorHAnsi"/>
        </w:rPr>
        <w:t xml:space="preserve">(If you or a colleague would like access to Noddlepod, please email Susan Hansen at </w:t>
      </w:r>
      <w:hyperlink r:id="rId10" w:history="1">
        <w:r w:rsidR="00D16B19" w:rsidRPr="005561C2">
          <w:rPr>
            <w:rStyle w:val="Hyperlink"/>
            <w:rFonts w:asciiTheme="minorHAnsi" w:hAnsiTheme="minorHAnsi" w:cstheme="minorHAnsi"/>
          </w:rPr>
          <w:t>shansen@nachc.org</w:t>
        </w:r>
      </w:hyperlink>
      <w:r w:rsidR="007A2F6E">
        <w:rPr>
          <w:rFonts w:asciiTheme="minorHAnsi" w:hAnsiTheme="minorHAnsi" w:cstheme="minorHAnsi"/>
        </w:rPr>
        <w:t>.)</w:t>
      </w:r>
    </w:p>
    <w:p w:rsidR="00D16B19" w:rsidRDefault="00D16B19" w:rsidP="007A2F6E">
      <w:pPr>
        <w:rPr>
          <w:rFonts w:asciiTheme="minorHAnsi" w:hAnsiTheme="minorHAnsi" w:cstheme="minorHAnsi"/>
        </w:rPr>
      </w:pPr>
    </w:p>
    <w:p w:rsidR="00D16B19" w:rsidRPr="007A2F6E" w:rsidRDefault="00D16B19" w:rsidP="007A2F6E">
      <w:pPr>
        <w:rPr>
          <w:rFonts w:asciiTheme="minorHAnsi" w:hAnsiTheme="minorHAnsi" w:cstheme="minorHAnsi"/>
        </w:rPr>
      </w:pPr>
    </w:p>
    <w:p w:rsidR="007A2F6E" w:rsidRPr="007A2F6E" w:rsidRDefault="007A2F6E" w:rsidP="007A2F6E">
      <w:pPr>
        <w:rPr>
          <w:rFonts w:asciiTheme="minorHAnsi" w:hAnsiTheme="minorHAnsi" w:cstheme="minorHAnsi"/>
        </w:rPr>
      </w:pPr>
    </w:p>
    <w:p w:rsidR="00901A13" w:rsidRDefault="00901A13" w:rsidP="00901A13">
      <w:pPr>
        <w:ind w:right="630"/>
        <w:rPr>
          <w:rFonts w:asciiTheme="minorHAnsi" w:hAnsiTheme="minorHAnsi" w:cstheme="minorHAnsi"/>
        </w:rPr>
      </w:pPr>
    </w:p>
    <w:p w:rsidR="00901A13" w:rsidRDefault="00901A13">
      <w:pPr>
        <w:rPr>
          <w:rFonts w:asciiTheme="minorHAnsi" w:hAnsiTheme="minorHAnsi" w:cstheme="minorHAnsi"/>
        </w:rPr>
      </w:pPr>
      <w:r>
        <w:rPr>
          <w:rFonts w:asciiTheme="minorHAnsi" w:hAnsiTheme="minorHAnsi" w:cstheme="minorHAnsi"/>
        </w:rPr>
        <w:br w:type="page"/>
      </w:r>
    </w:p>
    <w:p w:rsidR="0027135D" w:rsidRPr="00AD6A46" w:rsidRDefault="004E451C" w:rsidP="00E34C5E">
      <w:pPr>
        <w:pStyle w:val="Heading1"/>
      </w:pPr>
      <w:r w:rsidRPr="00AD6A46">
        <w:lastRenderedPageBreak/>
        <w:t xml:space="preserve">Cashflow Options for Health Centers </w:t>
      </w:r>
      <w:r w:rsidR="00A1094D">
        <w:t xml:space="preserve">With Less than 500 Staff </w:t>
      </w:r>
      <w:r w:rsidR="008A5F3F">
        <w:t>d</w:t>
      </w:r>
      <w:r w:rsidRPr="00AD6A46">
        <w:t>uring the Covid-19 Crisis</w:t>
      </w:r>
      <w:r w:rsidR="0093797F">
        <w:t xml:space="preserve"> </w:t>
      </w:r>
    </w:p>
    <w:p w:rsidR="0027135D" w:rsidRPr="00AD6A46" w:rsidRDefault="0027135D" w:rsidP="00E34C5E">
      <w:pPr>
        <w:pStyle w:val="Heading1"/>
      </w:pPr>
    </w:p>
    <w:tbl>
      <w:tblPr>
        <w:tblW w:w="10350"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00"/>
        <w:gridCol w:w="2790"/>
        <w:gridCol w:w="1530"/>
        <w:gridCol w:w="2340"/>
        <w:gridCol w:w="1890"/>
      </w:tblGrid>
      <w:tr w:rsidR="0027135D">
        <w:trPr>
          <w:trHeight w:val="449"/>
        </w:trPr>
        <w:tc>
          <w:tcPr>
            <w:tcW w:w="1800" w:type="dxa"/>
            <w:tcBorders>
              <w:bottom w:val="single" w:sz="6" w:space="0" w:color="000000"/>
            </w:tcBorders>
            <w:shd w:val="clear" w:color="auto" w:fill="BFBFBF"/>
            <w:tcMar>
              <w:top w:w="8" w:type="dxa"/>
              <w:left w:w="108" w:type="dxa"/>
              <w:bottom w:w="8" w:type="dxa"/>
              <w:right w:w="113" w:type="dxa"/>
            </w:tcMar>
            <w:vAlign w:val="center"/>
          </w:tcPr>
          <w:p w:rsidR="0027135D" w:rsidRDefault="0027135D">
            <w:pPr>
              <w:jc w:val="center"/>
              <w:rPr>
                <w:color w:val="000000"/>
              </w:rPr>
            </w:pPr>
          </w:p>
        </w:tc>
        <w:tc>
          <w:tcPr>
            <w:tcW w:w="2790" w:type="dxa"/>
            <w:tcBorders>
              <w:bottom w:val="single" w:sz="6" w:space="0" w:color="000000"/>
            </w:tcBorders>
            <w:shd w:val="clear" w:color="auto" w:fill="BFBFBF"/>
            <w:tcMar>
              <w:top w:w="8" w:type="dxa"/>
              <w:left w:w="113" w:type="dxa"/>
              <w:bottom w:w="8" w:type="dxa"/>
              <w:right w:w="113" w:type="dxa"/>
            </w:tcMar>
            <w:vAlign w:val="center"/>
            <w:hideMark/>
          </w:tcPr>
          <w:p w:rsidR="0027135D" w:rsidRDefault="004E451C">
            <w:pPr>
              <w:jc w:val="center"/>
              <w:rPr>
                <w:color w:val="000000"/>
              </w:rPr>
            </w:pPr>
            <w:r>
              <w:rPr>
                <w:rFonts w:ascii="Calibri" w:eastAsia="Calibri" w:hAnsi="Calibri" w:cs="Calibri"/>
                <w:b/>
                <w:bCs/>
                <w:color w:val="000000"/>
              </w:rPr>
              <w:t>What is it?</w:t>
            </w:r>
          </w:p>
        </w:tc>
        <w:tc>
          <w:tcPr>
            <w:tcW w:w="1530" w:type="dxa"/>
            <w:tcBorders>
              <w:bottom w:val="single" w:sz="6" w:space="0" w:color="000000"/>
            </w:tcBorders>
            <w:shd w:val="clear" w:color="auto" w:fill="BFBFBF"/>
            <w:tcMar>
              <w:top w:w="8" w:type="dxa"/>
              <w:left w:w="113" w:type="dxa"/>
              <w:bottom w:w="8" w:type="dxa"/>
              <w:right w:w="113" w:type="dxa"/>
            </w:tcMar>
            <w:vAlign w:val="center"/>
            <w:hideMark/>
          </w:tcPr>
          <w:p w:rsidR="0027135D" w:rsidRDefault="004E451C">
            <w:pPr>
              <w:jc w:val="center"/>
              <w:rPr>
                <w:color w:val="000000"/>
              </w:rPr>
            </w:pPr>
            <w:r>
              <w:rPr>
                <w:rFonts w:ascii="Calibri" w:eastAsia="Calibri" w:hAnsi="Calibri" w:cs="Calibri"/>
                <w:b/>
                <w:bCs/>
                <w:color w:val="000000"/>
              </w:rPr>
              <w:t>Who is eligible?</w:t>
            </w:r>
          </w:p>
        </w:tc>
        <w:tc>
          <w:tcPr>
            <w:tcW w:w="2340" w:type="dxa"/>
            <w:tcBorders>
              <w:bottom w:val="single" w:sz="6" w:space="0" w:color="000000"/>
            </w:tcBorders>
            <w:shd w:val="clear" w:color="auto" w:fill="BFBFBF"/>
            <w:tcMar>
              <w:top w:w="8" w:type="dxa"/>
              <w:left w:w="113" w:type="dxa"/>
              <w:bottom w:w="8" w:type="dxa"/>
              <w:right w:w="113" w:type="dxa"/>
            </w:tcMar>
            <w:vAlign w:val="center"/>
            <w:hideMark/>
          </w:tcPr>
          <w:p w:rsidR="0027135D" w:rsidRDefault="004E451C">
            <w:pPr>
              <w:jc w:val="center"/>
              <w:rPr>
                <w:color w:val="000000"/>
              </w:rPr>
            </w:pPr>
            <w:r>
              <w:rPr>
                <w:rFonts w:ascii="Calibri" w:eastAsia="Calibri" w:hAnsi="Calibri" w:cs="Calibri"/>
                <w:b/>
                <w:bCs/>
                <w:color w:val="000000"/>
              </w:rPr>
              <w:t>What are the terms?</w:t>
            </w:r>
          </w:p>
        </w:tc>
        <w:tc>
          <w:tcPr>
            <w:tcW w:w="1890" w:type="dxa"/>
            <w:tcBorders>
              <w:bottom w:val="single" w:sz="6" w:space="0" w:color="000000"/>
            </w:tcBorders>
            <w:shd w:val="clear" w:color="auto" w:fill="BFBFBF"/>
            <w:tcMar>
              <w:top w:w="8" w:type="dxa"/>
              <w:left w:w="113" w:type="dxa"/>
              <w:bottom w:w="8" w:type="dxa"/>
              <w:right w:w="108" w:type="dxa"/>
            </w:tcMar>
            <w:vAlign w:val="center"/>
            <w:hideMark/>
          </w:tcPr>
          <w:p w:rsidR="0027135D" w:rsidRDefault="004E451C">
            <w:pPr>
              <w:jc w:val="center"/>
              <w:rPr>
                <w:color w:val="000000"/>
              </w:rPr>
            </w:pPr>
            <w:r>
              <w:rPr>
                <w:rFonts w:ascii="Calibri" w:eastAsia="Calibri" w:hAnsi="Calibri" w:cs="Calibri"/>
                <w:b/>
                <w:bCs/>
                <w:color w:val="000000"/>
              </w:rPr>
              <w:t>What to do?</w:t>
            </w:r>
          </w:p>
        </w:tc>
      </w:tr>
      <w:tr w:rsidR="0027135D">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7135D" w:rsidRDefault="004E451C">
            <w:pPr>
              <w:rPr>
                <w:color w:val="000000"/>
              </w:rPr>
            </w:pPr>
            <w:r>
              <w:rPr>
                <w:rFonts w:ascii="Calibri" w:eastAsia="Calibri" w:hAnsi="Calibri" w:cs="Calibri"/>
                <w:b/>
                <w:bCs/>
                <w:color w:val="000000"/>
              </w:rPr>
              <w:t xml:space="preserve">Paycheck </w:t>
            </w:r>
          </w:p>
          <w:p w:rsidR="0027135D" w:rsidRDefault="004E451C">
            <w:pPr>
              <w:rPr>
                <w:color w:val="000000"/>
              </w:rPr>
            </w:pPr>
            <w:r>
              <w:rPr>
                <w:rFonts w:ascii="Calibri" w:eastAsia="Calibri" w:hAnsi="Calibri" w:cs="Calibri"/>
                <w:b/>
                <w:bCs/>
                <w:color w:val="000000"/>
              </w:rPr>
              <w:t>Protection Loans</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7135D" w:rsidRDefault="004E451C">
            <w:pPr>
              <w:rPr>
                <w:color w:val="000000"/>
                <w:sz w:val="20"/>
                <w:szCs w:val="20"/>
              </w:rPr>
            </w:pPr>
            <w:r>
              <w:rPr>
                <w:rFonts w:ascii="Calibri" w:eastAsia="Calibri" w:hAnsi="Calibri" w:cs="Calibri"/>
                <w:color w:val="000000"/>
                <w:sz w:val="20"/>
                <w:szCs w:val="20"/>
              </w:rPr>
              <w:t xml:space="preserve">Federally guaranteed loans. For any aspect of employee compensation, as well as mortgage, rent, and utilities. May take out up to 2.5 months of payroll up to $10 million. </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7135D" w:rsidRDefault="004E451C">
            <w:pPr>
              <w:rPr>
                <w:color w:val="000000"/>
                <w:sz w:val="20"/>
                <w:szCs w:val="20"/>
              </w:rPr>
            </w:pPr>
            <w:r>
              <w:rPr>
                <w:rFonts w:ascii="Calibri" w:eastAsia="Calibri" w:hAnsi="Calibri" w:cs="Calibri"/>
                <w:color w:val="000000"/>
                <w:sz w:val="20"/>
                <w:szCs w:val="20"/>
              </w:rPr>
              <w:t>Health centers up to 500 employees.</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7135D" w:rsidRDefault="004E451C">
            <w:pPr>
              <w:rPr>
                <w:color w:val="000000"/>
                <w:sz w:val="20"/>
                <w:szCs w:val="20"/>
              </w:rPr>
            </w:pPr>
            <w:r>
              <w:rPr>
                <w:rFonts w:ascii="Calibri" w:eastAsia="Calibri" w:hAnsi="Calibri" w:cs="Calibri"/>
                <w:color w:val="000000"/>
                <w:sz w:val="20"/>
                <w:szCs w:val="20"/>
              </w:rPr>
              <w:t xml:space="preserve">Payments and interest deferred for 6 months to 1 year. After that, </w:t>
            </w:r>
            <w:r w:rsidR="002574D9">
              <w:rPr>
                <w:rFonts w:ascii="Calibri" w:eastAsia="Calibri" w:hAnsi="Calibri" w:cs="Calibri"/>
                <w:color w:val="000000"/>
                <w:sz w:val="20"/>
                <w:szCs w:val="20"/>
              </w:rPr>
              <w:t>1</w:t>
            </w:r>
            <w:r>
              <w:rPr>
                <w:rFonts w:ascii="Calibri" w:eastAsia="Calibri" w:hAnsi="Calibri" w:cs="Calibri"/>
                <w:color w:val="000000"/>
                <w:sz w:val="20"/>
                <w:szCs w:val="20"/>
              </w:rPr>
              <w:t>%. Principal may be fully forgivable with documentation. No fees.</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rsidR="0027135D" w:rsidRDefault="004E451C">
            <w:pPr>
              <w:rPr>
                <w:color w:val="000000"/>
              </w:rPr>
            </w:pPr>
            <w:bookmarkStart w:id="1" w:name="_Hlk36543258"/>
            <w:r>
              <w:rPr>
                <w:rFonts w:ascii="Calibri" w:eastAsia="Calibri" w:hAnsi="Calibri" w:cs="Calibri"/>
                <w:color w:val="000000"/>
                <w:sz w:val="20"/>
                <w:szCs w:val="20"/>
              </w:rPr>
              <w:t xml:space="preserve">Call your bank or find SBA-approved lenders in your area through SBA’s </w:t>
            </w:r>
            <w:hyperlink r:id="rId11" w:history="1">
              <w:r>
                <w:rPr>
                  <w:rFonts w:ascii="Calibri" w:eastAsia="Calibri" w:hAnsi="Calibri" w:cs="Calibri"/>
                  <w:color w:val="0563C1"/>
                  <w:sz w:val="20"/>
                  <w:szCs w:val="20"/>
                  <w:u w:val="single" w:color="0563C1"/>
                </w:rPr>
                <w:t>Lender Match</w:t>
              </w:r>
            </w:hyperlink>
            <w:r>
              <w:rPr>
                <w:rFonts w:ascii="Calibri" w:eastAsia="Calibri" w:hAnsi="Calibri" w:cs="Calibri"/>
                <w:color w:val="000000"/>
                <w:sz w:val="20"/>
                <w:szCs w:val="20"/>
              </w:rPr>
              <w:t xml:space="preserve"> tool. call your local </w:t>
            </w:r>
            <w:hyperlink r:id="rId12" w:history="1">
              <w:r>
                <w:rPr>
                  <w:rFonts w:ascii="Calibri" w:eastAsia="Calibri" w:hAnsi="Calibri" w:cs="Calibri"/>
                  <w:color w:val="0563C1"/>
                  <w:sz w:val="20"/>
                  <w:szCs w:val="20"/>
                  <w:u w:val="single" w:color="0563C1"/>
                </w:rPr>
                <w:t>Small Business Development Center</w:t>
              </w:r>
            </w:hyperlink>
            <w:r>
              <w:rPr>
                <w:rFonts w:ascii="Calibri" w:eastAsia="Calibri" w:hAnsi="Calibri" w:cs="Calibri"/>
                <w:color w:val="000000"/>
                <w:sz w:val="20"/>
                <w:szCs w:val="20"/>
              </w:rPr>
              <w:t xml:space="preserve"> </w:t>
            </w:r>
            <w:bookmarkEnd w:id="1"/>
          </w:p>
        </w:tc>
      </w:tr>
      <w:tr w:rsidR="00AD6A46" w:rsidTr="002D5955">
        <w:trPr>
          <w:trHeight w:val="2380"/>
        </w:trPr>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AD6A46" w:rsidRDefault="00AD6A46" w:rsidP="00AD6A46">
            <w:pPr>
              <w:rPr>
                <w:color w:val="000000"/>
              </w:rPr>
            </w:pPr>
            <w:r>
              <w:rPr>
                <w:rFonts w:ascii="Calibri" w:eastAsia="Calibri" w:hAnsi="Calibri" w:cs="Calibri"/>
                <w:b/>
                <w:bCs/>
                <w:color w:val="000000"/>
              </w:rPr>
              <w:t xml:space="preserve">Emergency </w:t>
            </w:r>
          </w:p>
          <w:p w:rsidR="00AD6A46" w:rsidRDefault="00AD6A46" w:rsidP="00AD6A46">
            <w:pPr>
              <w:rPr>
                <w:color w:val="000000"/>
              </w:rPr>
            </w:pPr>
            <w:r>
              <w:rPr>
                <w:rFonts w:ascii="Calibri" w:eastAsia="Calibri" w:hAnsi="Calibri" w:cs="Calibri"/>
                <w:b/>
                <w:bCs/>
                <w:color w:val="000000"/>
              </w:rPr>
              <w:t>Paid and Family Leave</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D6A46" w:rsidRDefault="00AD6A46" w:rsidP="00AD6A46">
            <w:pPr>
              <w:rPr>
                <w:color w:val="000000"/>
                <w:sz w:val="20"/>
                <w:szCs w:val="20"/>
              </w:rPr>
            </w:pPr>
            <w:r>
              <w:rPr>
                <w:rFonts w:ascii="Calibri" w:eastAsia="Calibri" w:hAnsi="Calibri" w:cs="Calibri"/>
                <w:color w:val="000000"/>
                <w:sz w:val="20"/>
                <w:szCs w:val="20"/>
                <w:u w:val="single" w:color="000000"/>
              </w:rPr>
              <w:t>Paid leave:</w:t>
            </w:r>
            <w:r>
              <w:rPr>
                <w:rFonts w:ascii="Calibri" w:eastAsia="Calibri" w:hAnsi="Calibri" w:cs="Calibri"/>
                <w:color w:val="000000"/>
                <w:sz w:val="20"/>
                <w:szCs w:val="20"/>
              </w:rPr>
              <w:t xml:space="preserve"> Up to 80 hours of paid sick leave to $511/day. For caregiver leave, 80 hours to $200/day.  </w:t>
            </w:r>
          </w:p>
          <w:p w:rsidR="00AD6A46" w:rsidRDefault="00AD6A46" w:rsidP="00AD6A46">
            <w:pPr>
              <w:rPr>
                <w:color w:val="000000"/>
                <w:sz w:val="20"/>
                <w:szCs w:val="20"/>
              </w:rPr>
            </w:pPr>
          </w:p>
          <w:p w:rsidR="00AD6A46" w:rsidRDefault="00AD6A46" w:rsidP="00AD6A46">
            <w:pPr>
              <w:rPr>
                <w:color w:val="000000"/>
                <w:sz w:val="20"/>
                <w:szCs w:val="20"/>
              </w:rPr>
            </w:pPr>
            <w:r>
              <w:rPr>
                <w:rFonts w:ascii="Calibri" w:eastAsia="Calibri" w:hAnsi="Calibri" w:cs="Calibri"/>
                <w:color w:val="000000"/>
                <w:sz w:val="20"/>
                <w:szCs w:val="20"/>
                <w:u w:val="single" w:color="000000"/>
              </w:rPr>
              <w:t>Family leave:</w:t>
            </w:r>
            <w:r>
              <w:rPr>
                <w:rFonts w:ascii="Calibri" w:eastAsia="Calibri" w:hAnsi="Calibri" w:cs="Calibri"/>
                <w:color w:val="000000"/>
                <w:sz w:val="20"/>
                <w:szCs w:val="20"/>
              </w:rPr>
              <w:t xml:space="preserve"> 10 weeks at $200/day max. To care for a child whose school or care provider is unavailable.</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D6A46" w:rsidRDefault="00564DEE" w:rsidP="00AD6A46">
            <w:pPr>
              <w:rPr>
                <w:color w:val="000000"/>
                <w:sz w:val="20"/>
                <w:szCs w:val="20"/>
              </w:rPr>
            </w:pPr>
            <w:r>
              <w:rPr>
                <w:rFonts w:ascii="Calibri" w:eastAsia="Calibri" w:hAnsi="Calibri" w:cs="Calibri"/>
                <w:color w:val="000000"/>
                <w:sz w:val="20"/>
                <w:szCs w:val="20"/>
              </w:rPr>
              <w:t xml:space="preserve">Employers with under </w:t>
            </w:r>
            <w:r w:rsidR="00AD6A46">
              <w:rPr>
                <w:rFonts w:ascii="Calibri" w:eastAsia="Calibri" w:hAnsi="Calibri" w:cs="Calibri"/>
                <w:color w:val="000000"/>
                <w:sz w:val="20"/>
                <w:szCs w:val="20"/>
              </w:rPr>
              <w:t>500 employees</w:t>
            </w:r>
            <w:r>
              <w:rPr>
                <w:rFonts w:ascii="Calibri" w:eastAsia="Calibri" w:hAnsi="Calibri" w:cs="Calibri"/>
                <w:color w:val="000000"/>
                <w:sz w:val="20"/>
                <w:szCs w:val="20"/>
              </w:rPr>
              <w:t xml:space="preserve"> must offer</w:t>
            </w:r>
            <w:r w:rsidR="00AD6A46">
              <w:rPr>
                <w:rFonts w:ascii="Calibri" w:eastAsia="Calibri" w:hAnsi="Calibri" w:cs="Calibri"/>
                <w:color w:val="000000"/>
                <w:sz w:val="20"/>
                <w:szCs w:val="20"/>
              </w:rPr>
              <w:t xml:space="preserve">. Exceptions available </w:t>
            </w:r>
            <w:r>
              <w:rPr>
                <w:rFonts w:ascii="Calibri" w:eastAsia="Calibri" w:hAnsi="Calibri" w:cs="Calibri"/>
                <w:color w:val="000000"/>
                <w:sz w:val="20"/>
                <w:szCs w:val="20"/>
              </w:rPr>
              <w:t xml:space="preserve">for health centers and firms under </w:t>
            </w:r>
            <w:r w:rsidR="00AD6A46">
              <w:rPr>
                <w:rFonts w:ascii="Calibri" w:eastAsia="Calibri" w:hAnsi="Calibri" w:cs="Calibri"/>
                <w:color w:val="000000"/>
                <w:sz w:val="20"/>
                <w:szCs w:val="20"/>
              </w:rPr>
              <w:t xml:space="preserve">50 employees. </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D6A46" w:rsidRDefault="00AD6A46" w:rsidP="00AD6A46">
            <w:pPr>
              <w:rPr>
                <w:color w:val="000000"/>
                <w:sz w:val="20"/>
                <w:szCs w:val="20"/>
              </w:rPr>
            </w:pPr>
            <w:r>
              <w:rPr>
                <w:rFonts w:ascii="Calibri" w:eastAsia="Calibri" w:hAnsi="Calibri" w:cs="Calibri"/>
                <w:color w:val="000000"/>
                <w:sz w:val="20"/>
                <w:szCs w:val="20"/>
              </w:rPr>
              <w:t>Employers receive a refundable tax credit for 100% of the eligible leave costs.  Credit applied as refund against employer’s total portion of Social Security taxes for the period.</w:t>
            </w:r>
            <w:r w:rsidR="00564DEE">
              <w:rPr>
                <w:rFonts w:ascii="Calibri" w:eastAsia="Calibri" w:hAnsi="Calibri" w:cs="Calibri"/>
                <w:color w:val="000000"/>
                <w:sz w:val="20"/>
                <w:szCs w:val="20"/>
              </w:rPr>
              <w:t xml:space="preserve"> Health care employers may deny leave to all employees</w:t>
            </w:r>
            <w:r w:rsidR="00397D6B">
              <w:rPr>
                <w:rFonts w:ascii="Calibri" w:eastAsia="Calibri" w:hAnsi="Calibri" w:cs="Calibri"/>
                <w:color w:val="000000"/>
                <w:sz w:val="20"/>
                <w:szCs w:val="20"/>
              </w:rPr>
              <w:t>.</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AD6A46" w:rsidRDefault="002038C8" w:rsidP="00AD6A46">
            <w:pPr>
              <w:rPr>
                <w:color w:val="000000"/>
              </w:rPr>
            </w:pPr>
            <w:hyperlink r:id="rId13" w:history="1">
              <w:r w:rsidR="00AD6A46">
                <w:rPr>
                  <w:rFonts w:ascii="Calibri" w:eastAsia="Calibri" w:hAnsi="Calibri" w:cs="Calibri"/>
                  <w:color w:val="0563C1"/>
                  <w:sz w:val="20"/>
                  <w:szCs w:val="20"/>
                  <w:u w:val="single" w:color="0563C1"/>
                </w:rPr>
                <w:t>General information on leave</w:t>
              </w:r>
            </w:hyperlink>
            <w:hyperlink r:id="rId14" w:history="1">
              <w:r w:rsidR="00AD6A46">
                <w:rPr>
                  <w:rFonts w:ascii="Calibri" w:eastAsia="Calibri" w:hAnsi="Calibri" w:cs="Calibri"/>
                  <w:color w:val="0563C1"/>
                  <w:sz w:val="20"/>
                  <w:szCs w:val="20"/>
                  <w:u w:val="single" w:color="0563C1"/>
                </w:rPr>
                <w:t xml:space="preserve"> programs </w:t>
              </w:r>
            </w:hyperlink>
          </w:p>
          <w:p w:rsidR="00AD6A46" w:rsidRDefault="00AD6A46" w:rsidP="00AD6A46">
            <w:pPr>
              <w:rPr>
                <w:color w:val="000000"/>
                <w:sz w:val="20"/>
                <w:szCs w:val="20"/>
              </w:rPr>
            </w:pPr>
          </w:p>
          <w:p w:rsidR="00AD6A46" w:rsidRDefault="002038C8" w:rsidP="00AD6A46">
            <w:pPr>
              <w:rPr>
                <w:color w:val="000000"/>
              </w:rPr>
            </w:pPr>
            <w:hyperlink r:id="rId15" w:history="1">
              <w:r w:rsidR="00AD6A46">
                <w:rPr>
                  <w:rFonts w:ascii="Calibri" w:eastAsia="Calibri" w:hAnsi="Calibri" w:cs="Calibri"/>
                  <w:color w:val="0563C1"/>
                  <w:sz w:val="20"/>
                  <w:szCs w:val="20"/>
                  <w:u w:val="single" w:color="0563C1"/>
                </w:rPr>
                <w:t>Questions and answers on leave provisions</w:t>
              </w:r>
            </w:hyperlink>
            <w:r w:rsidR="00AD6A46">
              <w:rPr>
                <w:rFonts w:ascii="Calibri" w:eastAsia="Calibri" w:hAnsi="Calibri" w:cs="Calibri"/>
                <w:color w:val="000000"/>
                <w:sz w:val="20"/>
                <w:szCs w:val="20"/>
              </w:rPr>
              <w:t xml:space="preserve"> </w:t>
            </w:r>
          </w:p>
        </w:tc>
      </w:tr>
      <w:tr w:rsidR="00AD6A46">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AD6A46" w:rsidRDefault="00AD6A46" w:rsidP="00AD6A46">
            <w:pPr>
              <w:rPr>
                <w:color w:val="000000"/>
              </w:rPr>
            </w:pPr>
            <w:r>
              <w:rPr>
                <w:rFonts w:ascii="Calibri" w:eastAsia="Calibri" w:hAnsi="Calibri" w:cs="Calibri"/>
                <w:b/>
                <w:bCs/>
                <w:color w:val="000000"/>
              </w:rPr>
              <w:t>Economic Injury Disaster Loans</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AD6A46" w:rsidRDefault="00AD6A46" w:rsidP="00AD6A46">
            <w:pPr>
              <w:rPr>
                <w:color w:val="000000"/>
                <w:sz w:val="20"/>
                <w:szCs w:val="20"/>
              </w:rPr>
            </w:pPr>
            <w:r>
              <w:rPr>
                <w:rFonts w:ascii="Calibri" w:eastAsia="Calibri" w:hAnsi="Calibri" w:cs="Calibri"/>
                <w:color w:val="000000"/>
                <w:sz w:val="20"/>
                <w:szCs w:val="20"/>
              </w:rPr>
              <w:t>Small Business Administration (SBA) loan for up to $2 million, including a $10,000 grant up front. May be used to pay fixed debts, payroll, accounts payable and other bills that can’t be paid because of the disaster’s impact.</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AD6A46" w:rsidRDefault="00AD6A46" w:rsidP="00AD6A46">
            <w:pPr>
              <w:rPr>
                <w:color w:val="000000"/>
                <w:sz w:val="20"/>
                <w:szCs w:val="20"/>
              </w:rPr>
            </w:pPr>
            <w:r>
              <w:rPr>
                <w:rFonts w:ascii="Calibri" w:eastAsia="Calibri" w:hAnsi="Calibri" w:cs="Calibri"/>
                <w:color w:val="000000"/>
                <w:sz w:val="20"/>
                <w:szCs w:val="20"/>
              </w:rPr>
              <w:t xml:space="preserve">All health centers, regardless of size. </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AD6A46" w:rsidRDefault="00AD6A46" w:rsidP="00AD6A46">
            <w:pPr>
              <w:rPr>
                <w:color w:val="000000"/>
                <w:sz w:val="20"/>
                <w:szCs w:val="20"/>
              </w:rPr>
            </w:pPr>
            <w:r>
              <w:rPr>
                <w:rFonts w:ascii="Calibri" w:eastAsia="Calibri" w:hAnsi="Calibri" w:cs="Calibri"/>
                <w:color w:val="000000"/>
                <w:sz w:val="20"/>
                <w:szCs w:val="20"/>
              </w:rPr>
              <w:t xml:space="preserve">Interest rate of 2.75%, payable over up to 30 years. Can defer initial payments for up to a year. </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rsidR="00AD6A46" w:rsidRDefault="00AD6A46" w:rsidP="00AD6A46">
            <w:pPr>
              <w:rPr>
                <w:color w:val="000000"/>
              </w:rPr>
            </w:pPr>
            <w:r>
              <w:rPr>
                <w:rFonts w:ascii="Calibri" w:eastAsia="Calibri" w:hAnsi="Calibri" w:cs="Calibri"/>
                <w:color w:val="000000"/>
                <w:sz w:val="20"/>
                <w:szCs w:val="20"/>
              </w:rPr>
              <w:t xml:space="preserve">Apply directly at the SBA. Applicants may </w:t>
            </w:r>
            <w:hyperlink r:id="rId16" w:history="1">
              <w:r>
                <w:rPr>
                  <w:rFonts w:ascii="Calibri" w:eastAsia="Calibri" w:hAnsi="Calibri" w:cs="Calibri"/>
                  <w:color w:val="0563C1"/>
                  <w:sz w:val="20"/>
                  <w:szCs w:val="20"/>
                  <w:u w:val="single" w:color="0563C1"/>
                </w:rPr>
                <w:t>apply online</w:t>
              </w:r>
            </w:hyperlink>
            <w:r>
              <w:rPr>
                <w:rFonts w:ascii="Calibri" w:eastAsia="Calibri" w:hAnsi="Calibri" w:cs="Calibri"/>
                <w:color w:val="000000"/>
                <w:sz w:val="20"/>
                <w:szCs w:val="20"/>
              </w:rPr>
              <w:t xml:space="preserve"> or call 1-800-659-2955.</w:t>
            </w:r>
          </w:p>
        </w:tc>
      </w:tr>
      <w:tr w:rsidR="00966B79" w:rsidTr="002D5955">
        <w:trPr>
          <w:trHeight w:val="1345"/>
        </w:trPr>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966B79" w:rsidRPr="008B1F5F" w:rsidRDefault="00966B79" w:rsidP="00966B79">
            <w:pPr>
              <w:rPr>
                <w:rFonts w:asciiTheme="minorHAnsi" w:hAnsiTheme="minorHAnsi" w:cstheme="minorHAnsi"/>
                <w:b/>
                <w:bCs/>
                <w:color w:val="000000"/>
              </w:rPr>
            </w:pPr>
            <w:r>
              <w:rPr>
                <w:rFonts w:asciiTheme="minorHAnsi" w:hAnsiTheme="minorHAnsi" w:cstheme="minorHAnsi"/>
                <w:b/>
                <w:bCs/>
              </w:rPr>
              <w:t>Tax credits for e</w:t>
            </w:r>
            <w:r w:rsidRPr="008B1F5F">
              <w:rPr>
                <w:rFonts w:asciiTheme="minorHAnsi" w:hAnsiTheme="minorHAnsi" w:cstheme="minorHAnsi"/>
                <w:b/>
                <w:bCs/>
              </w:rPr>
              <w:t xml:space="preserve">mployee retention </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966B79" w:rsidRPr="001B12F9" w:rsidRDefault="00966B79" w:rsidP="00966B79">
            <w:pPr>
              <w:rPr>
                <w:rFonts w:asciiTheme="minorHAnsi" w:hAnsiTheme="minorHAnsi" w:cstheme="minorHAnsi"/>
                <w:color w:val="000000"/>
                <w:sz w:val="20"/>
                <w:szCs w:val="20"/>
              </w:rPr>
            </w:pPr>
            <w:r w:rsidRPr="001B12F9">
              <w:rPr>
                <w:rFonts w:asciiTheme="minorHAnsi" w:hAnsiTheme="minorHAnsi" w:cstheme="minorHAnsi"/>
                <w:color w:val="000000"/>
                <w:sz w:val="20"/>
                <w:szCs w:val="20"/>
              </w:rPr>
              <w:t>Refundable credits of up to $5,000 per quarter for each employee who is not actively “providing services” due to COVID-19.</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966B79" w:rsidRPr="001B12F9" w:rsidRDefault="00966B79" w:rsidP="00966B7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All employers </w:t>
            </w:r>
            <w:r w:rsidRPr="001B12F9">
              <w:rPr>
                <w:rFonts w:asciiTheme="minorHAnsi" w:hAnsiTheme="minorHAnsi" w:cstheme="minorHAnsi"/>
                <w:color w:val="000000"/>
                <w:sz w:val="20"/>
                <w:szCs w:val="20"/>
              </w:rPr>
              <w:t xml:space="preserve">who can demonstrate financial harm </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966B79" w:rsidRPr="001B12F9" w:rsidRDefault="00966B79" w:rsidP="00966B79">
            <w:pPr>
              <w:rPr>
                <w:rFonts w:asciiTheme="minorHAnsi" w:hAnsiTheme="minorHAnsi" w:cstheme="minorHAnsi"/>
                <w:color w:val="000000"/>
                <w:sz w:val="20"/>
                <w:szCs w:val="20"/>
              </w:rPr>
            </w:pPr>
            <w:r w:rsidRPr="001B12F9">
              <w:rPr>
                <w:rFonts w:asciiTheme="minorHAnsi" w:hAnsiTheme="minorHAnsi" w:cstheme="minorHAnsi"/>
                <w:color w:val="000000"/>
                <w:sz w:val="20"/>
                <w:szCs w:val="20"/>
              </w:rPr>
              <w:t>Employee must be unable to “provide services” due to COVID-19.  Unclear if reassigned employees qualify.</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rsidR="00966B79" w:rsidRPr="001B12F9" w:rsidRDefault="00966B79" w:rsidP="00966B79">
            <w:pPr>
              <w:rPr>
                <w:rFonts w:asciiTheme="minorHAnsi" w:hAnsiTheme="minorHAnsi" w:cstheme="minorHAnsi"/>
                <w:color w:val="000000"/>
                <w:sz w:val="20"/>
                <w:szCs w:val="20"/>
              </w:rPr>
            </w:pPr>
            <w:r w:rsidRPr="001B12F9">
              <w:rPr>
                <w:rFonts w:asciiTheme="minorHAnsi" w:hAnsiTheme="minorHAnsi" w:cstheme="minorHAnsi"/>
                <w:color w:val="000000"/>
                <w:sz w:val="20"/>
                <w:szCs w:val="20"/>
              </w:rPr>
              <w:t xml:space="preserve">Either deduct credit from tax deposits or request an IRS advance using </w:t>
            </w:r>
            <w:hyperlink r:id="rId17" w:tgtFrame="_blank" w:history="1">
              <w:r w:rsidRPr="001B12F9">
                <w:rPr>
                  <w:rFonts w:asciiTheme="minorHAnsi" w:hAnsiTheme="minorHAnsi" w:cstheme="minorHAnsi"/>
                  <w:color w:val="428BCA"/>
                  <w:sz w:val="20"/>
                  <w:szCs w:val="20"/>
                  <w:u w:val="single"/>
                </w:rPr>
                <w:t>Form 7200</w:t>
              </w:r>
            </w:hyperlink>
          </w:p>
        </w:tc>
      </w:tr>
      <w:tr w:rsidR="00966B79" w:rsidTr="002D5955">
        <w:trPr>
          <w:trHeight w:val="1039"/>
        </w:trPr>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966B79" w:rsidRDefault="00966B79" w:rsidP="00966B79">
            <w:pPr>
              <w:rPr>
                <w:rFonts w:ascii="Calibri" w:eastAsia="Calibri" w:hAnsi="Calibri" w:cs="Calibri"/>
                <w:b/>
                <w:bCs/>
                <w:color w:val="000000"/>
              </w:rPr>
            </w:pPr>
            <w:r>
              <w:rPr>
                <w:rFonts w:ascii="Calibri" w:eastAsia="Calibri" w:hAnsi="Calibri" w:cs="Calibri"/>
                <w:b/>
                <w:bCs/>
                <w:color w:val="000000"/>
              </w:rPr>
              <w:t>Deferral of employer share of FICA</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66B79" w:rsidRPr="001B12F9" w:rsidRDefault="00966B79" w:rsidP="00966B79">
            <w:pPr>
              <w:rPr>
                <w:rFonts w:asciiTheme="minorHAnsi" w:eastAsia="Calibri" w:hAnsiTheme="minorHAnsi" w:cstheme="minorHAnsi"/>
                <w:color w:val="000000"/>
                <w:sz w:val="20"/>
                <w:szCs w:val="20"/>
              </w:rPr>
            </w:pPr>
            <w:r w:rsidRPr="001B12F9">
              <w:rPr>
                <w:rFonts w:asciiTheme="minorHAnsi" w:eastAsia="Calibri" w:hAnsiTheme="minorHAnsi" w:cstheme="minorHAnsi"/>
                <w:color w:val="000000"/>
                <w:sz w:val="20"/>
                <w:szCs w:val="20"/>
              </w:rPr>
              <w:t>Employers can defer paying the employer share of FICA taxes from now through 12/31/20.</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66B79" w:rsidRPr="001B12F9" w:rsidRDefault="00966B79" w:rsidP="00966B79">
            <w:pPr>
              <w:rPr>
                <w:rFonts w:asciiTheme="minorHAnsi" w:eastAsia="Calibri" w:hAnsiTheme="minorHAnsi" w:cstheme="minorHAnsi"/>
                <w:color w:val="000000"/>
                <w:sz w:val="20"/>
                <w:szCs w:val="20"/>
              </w:rPr>
            </w:pPr>
            <w:r w:rsidRPr="001B12F9">
              <w:rPr>
                <w:rFonts w:asciiTheme="minorHAnsi" w:eastAsia="Calibri" w:hAnsiTheme="minorHAnsi" w:cstheme="minorHAnsi"/>
                <w:color w:val="000000"/>
                <w:sz w:val="20"/>
                <w:szCs w:val="20"/>
              </w:rPr>
              <w:t>All employers</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66B79" w:rsidRPr="001B12F9" w:rsidRDefault="00966B79" w:rsidP="00966B79">
            <w:pPr>
              <w:rPr>
                <w:rFonts w:asciiTheme="minorHAnsi" w:eastAsia="Calibri" w:hAnsiTheme="minorHAnsi" w:cstheme="minorHAnsi"/>
                <w:color w:val="000000"/>
                <w:sz w:val="20"/>
                <w:szCs w:val="20"/>
              </w:rPr>
            </w:pPr>
            <w:r w:rsidRPr="001B12F9">
              <w:rPr>
                <w:rFonts w:asciiTheme="minorHAnsi" w:eastAsia="Calibri" w:hAnsiTheme="minorHAnsi" w:cstheme="minorHAnsi"/>
                <w:color w:val="000000"/>
                <w:sz w:val="20"/>
                <w:szCs w:val="20"/>
              </w:rPr>
              <w:t>All deferred FICA taxes must ultimately be repaid – half by 12/31/21 and half by 12/31/22.</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966B79" w:rsidRPr="001B12F9" w:rsidRDefault="00966B79" w:rsidP="00966B79">
            <w:pPr>
              <w:rPr>
                <w:rFonts w:asciiTheme="minorHAnsi" w:eastAsia="Calibri" w:hAnsiTheme="minorHAnsi" w:cstheme="minorHAnsi"/>
                <w:color w:val="000000"/>
                <w:sz w:val="20"/>
                <w:szCs w:val="20"/>
              </w:rPr>
            </w:pPr>
            <w:r w:rsidRPr="001B12F9">
              <w:rPr>
                <w:rFonts w:asciiTheme="minorHAnsi" w:eastAsia="Calibri" w:hAnsiTheme="minorHAnsi" w:cstheme="minorHAnsi"/>
                <w:color w:val="000000"/>
                <w:sz w:val="20"/>
                <w:szCs w:val="20"/>
              </w:rPr>
              <w:t xml:space="preserve">See </w:t>
            </w:r>
            <w:hyperlink r:id="rId18" w:history="1">
              <w:r w:rsidRPr="001B12F9">
                <w:rPr>
                  <w:rStyle w:val="Hyperlink"/>
                  <w:rFonts w:asciiTheme="minorHAnsi" w:hAnsiTheme="minorHAnsi" w:cstheme="minorHAnsi"/>
                  <w:sz w:val="20"/>
                  <w:szCs w:val="20"/>
                </w:rPr>
                <w:t>IRS Notice 2020-22</w:t>
              </w:r>
            </w:hyperlink>
          </w:p>
        </w:tc>
      </w:tr>
      <w:tr w:rsidR="00AF087E" w:rsidTr="00AF1717">
        <w:trPr>
          <w:trHeight w:val="949"/>
        </w:trPr>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AF087E" w:rsidRDefault="00AF087E" w:rsidP="00AF087E">
            <w:pPr>
              <w:rPr>
                <w:rFonts w:ascii="Calibri" w:eastAsia="Calibri" w:hAnsi="Calibri" w:cs="Calibri"/>
                <w:b/>
                <w:bCs/>
                <w:color w:val="000000"/>
              </w:rPr>
            </w:pPr>
            <w:r>
              <w:rPr>
                <w:rFonts w:ascii="Calibri" w:eastAsia="Calibri" w:hAnsi="Calibri" w:cs="Calibri"/>
                <w:b/>
                <w:bCs/>
                <w:color w:val="000000"/>
              </w:rPr>
              <w:t>Accelerated Medicare Payments</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F087E" w:rsidRDefault="00AF087E" w:rsidP="00AF087E">
            <w:pPr>
              <w:rPr>
                <w:rFonts w:ascii="Calibri" w:eastAsia="Calibri" w:hAnsi="Calibri" w:cs="Calibri"/>
                <w:color w:val="000000"/>
                <w:sz w:val="20"/>
                <w:szCs w:val="20"/>
              </w:rPr>
            </w:pPr>
            <w:r>
              <w:rPr>
                <w:rFonts w:ascii="Calibri" w:eastAsia="Calibri" w:hAnsi="Calibri" w:cs="Calibri"/>
                <w:color w:val="000000"/>
                <w:sz w:val="20"/>
                <w:szCs w:val="20"/>
              </w:rPr>
              <w:t>FQHCs can receive up to 3 months</w:t>
            </w:r>
            <w:r w:rsidR="009610B5">
              <w:rPr>
                <w:rFonts w:ascii="Calibri" w:eastAsia="Calibri" w:hAnsi="Calibri" w:cs="Calibri"/>
                <w:color w:val="000000"/>
                <w:sz w:val="20"/>
                <w:szCs w:val="20"/>
              </w:rPr>
              <w:t xml:space="preserve">’ worth of </w:t>
            </w:r>
            <w:r>
              <w:rPr>
                <w:rFonts w:ascii="Calibri" w:eastAsia="Calibri" w:hAnsi="Calibri" w:cs="Calibri"/>
                <w:color w:val="000000"/>
                <w:sz w:val="20"/>
                <w:szCs w:val="20"/>
              </w:rPr>
              <w:t>Medicare payments</w:t>
            </w:r>
            <w:r w:rsidR="009610B5">
              <w:rPr>
                <w:rFonts w:ascii="Calibri" w:eastAsia="Calibri" w:hAnsi="Calibri" w:cs="Calibri"/>
                <w:color w:val="000000"/>
                <w:sz w:val="20"/>
                <w:szCs w:val="20"/>
              </w:rPr>
              <w:t xml:space="preserve"> in advance</w:t>
            </w:r>
            <w:r>
              <w:rPr>
                <w:rFonts w:ascii="Calibri" w:eastAsia="Calibri" w:hAnsi="Calibri" w:cs="Calibri"/>
                <w:color w:val="000000"/>
                <w:sz w:val="20"/>
                <w:szCs w:val="20"/>
              </w:rPr>
              <w:t>, within 7 days of applying.</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F087E" w:rsidRDefault="00AF087E" w:rsidP="00AF087E">
            <w:pPr>
              <w:rPr>
                <w:rFonts w:ascii="Calibri" w:eastAsia="Calibri" w:hAnsi="Calibri" w:cs="Calibri"/>
                <w:color w:val="000000"/>
                <w:sz w:val="20"/>
                <w:szCs w:val="20"/>
              </w:rPr>
            </w:pPr>
            <w:r>
              <w:rPr>
                <w:rFonts w:ascii="Calibri" w:eastAsia="Calibri" w:hAnsi="Calibri" w:cs="Calibri"/>
                <w:color w:val="000000"/>
                <w:sz w:val="20"/>
                <w:szCs w:val="20"/>
              </w:rPr>
              <w:t>All health centers</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F087E" w:rsidRDefault="00AF087E" w:rsidP="00AF087E">
            <w:pPr>
              <w:rPr>
                <w:rFonts w:ascii="Calibri" w:eastAsia="Calibri" w:hAnsi="Calibri" w:cs="Calibri"/>
                <w:color w:val="000000"/>
                <w:sz w:val="20"/>
                <w:szCs w:val="20"/>
              </w:rPr>
            </w:pPr>
            <w:r>
              <w:rPr>
                <w:rFonts w:ascii="Calibri" w:eastAsia="Calibri" w:hAnsi="Calibri" w:cs="Calibri"/>
                <w:color w:val="000000"/>
                <w:sz w:val="20"/>
                <w:szCs w:val="20"/>
              </w:rPr>
              <w:t>Any excess must be repaid within 4 to 7 months.</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AF087E" w:rsidRDefault="00AF087E" w:rsidP="00AF087E">
            <w:pPr>
              <w:rPr>
                <w:rFonts w:ascii="Calibri" w:eastAsia="Calibri" w:hAnsi="Calibri" w:cs="Calibri"/>
                <w:color w:val="000000"/>
                <w:sz w:val="20"/>
                <w:szCs w:val="20"/>
              </w:rPr>
            </w:pPr>
            <w:r>
              <w:rPr>
                <w:rFonts w:ascii="Calibri" w:eastAsia="Calibri" w:hAnsi="Calibri" w:cs="Calibri"/>
                <w:color w:val="000000"/>
                <w:sz w:val="20"/>
                <w:szCs w:val="20"/>
              </w:rPr>
              <w:t>Contact your MAC</w:t>
            </w:r>
          </w:p>
        </w:tc>
      </w:tr>
      <w:tr w:rsidR="00966B79" w:rsidTr="00AF1717">
        <w:trPr>
          <w:trHeight w:val="1030"/>
        </w:trPr>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966B79" w:rsidRDefault="00966B79" w:rsidP="00966B79">
            <w:pPr>
              <w:rPr>
                <w:color w:val="000000"/>
              </w:rPr>
            </w:pPr>
            <w:r>
              <w:rPr>
                <w:rFonts w:ascii="Calibri" w:eastAsia="Calibri" w:hAnsi="Calibri" w:cs="Calibri"/>
                <w:b/>
                <w:bCs/>
                <w:color w:val="000000"/>
              </w:rPr>
              <w:t>Expanded</w:t>
            </w:r>
          </w:p>
          <w:p w:rsidR="00966B79" w:rsidRDefault="00966B79" w:rsidP="00966B79">
            <w:pPr>
              <w:rPr>
                <w:color w:val="000000"/>
              </w:rPr>
            </w:pPr>
            <w:r>
              <w:rPr>
                <w:rFonts w:ascii="Calibri" w:eastAsia="Calibri" w:hAnsi="Calibri" w:cs="Calibri"/>
                <w:b/>
                <w:bCs/>
                <w:color w:val="000000"/>
              </w:rPr>
              <w:t>Unemployment Insurance for Fully and Partly Laid-off Staff</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66B79" w:rsidRPr="001B12F9" w:rsidRDefault="00966B79" w:rsidP="00966B79">
            <w:pPr>
              <w:rPr>
                <w:rFonts w:asciiTheme="minorHAnsi" w:hAnsiTheme="minorHAnsi" w:cstheme="minorHAnsi"/>
                <w:color w:val="000000"/>
                <w:sz w:val="20"/>
                <w:szCs w:val="20"/>
              </w:rPr>
            </w:pPr>
            <w:r w:rsidRPr="001B12F9">
              <w:rPr>
                <w:rFonts w:asciiTheme="minorHAnsi" w:hAnsiTheme="minorHAnsi" w:cstheme="minorHAnsi"/>
                <w:color w:val="000000"/>
                <w:sz w:val="20"/>
                <w:szCs w:val="20"/>
              </w:rPr>
              <w:t xml:space="preserve">Expanded benefits for laid-off staff, including first week paid, additional $600 per week, and 13 additional weeks if needed. States encouraged to create/ expand programs to </w:t>
            </w:r>
            <w:r>
              <w:rPr>
                <w:rFonts w:asciiTheme="minorHAnsi" w:hAnsiTheme="minorHAnsi" w:cstheme="minorHAnsi"/>
                <w:color w:val="000000"/>
                <w:sz w:val="20"/>
                <w:szCs w:val="20"/>
              </w:rPr>
              <w:t>staff who have been partly or fully furloughed</w:t>
            </w:r>
            <w:r w:rsidRPr="001B12F9">
              <w:rPr>
                <w:rFonts w:asciiTheme="minorHAnsi" w:hAnsiTheme="minorHAnsi" w:cstheme="minorHAnsi"/>
                <w:color w:val="000000"/>
                <w:sz w:val="20"/>
                <w:szCs w:val="20"/>
              </w:rPr>
              <w:t xml:space="preserve">  </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66B79" w:rsidRPr="001B12F9" w:rsidRDefault="00966B79" w:rsidP="00966B79">
            <w:pPr>
              <w:rPr>
                <w:rFonts w:asciiTheme="minorHAnsi" w:hAnsiTheme="minorHAnsi" w:cstheme="minorHAnsi"/>
                <w:color w:val="000000"/>
                <w:sz w:val="20"/>
                <w:szCs w:val="20"/>
              </w:rPr>
            </w:pPr>
            <w:r w:rsidRPr="001B12F9">
              <w:rPr>
                <w:rFonts w:asciiTheme="minorHAnsi" w:eastAsia="Calibri" w:hAnsiTheme="minorHAnsi" w:cstheme="minorHAnsi"/>
                <w:color w:val="000000"/>
                <w:sz w:val="20"/>
                <w:szCs w:val="20"/>
              </w:rPr>
              <w:t xml:space="preserve">All employees and contractors. May be additional state flexibilities.  </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66B79" w:rsidRPr="00AF66B3" w:rsidRDefault="00966B79" w:rsidP="00966B79">
            <w:pPr>
              <w:rPr>
                <w:rFonts w:asciiTheme="minorHAnsi" w:hAnsiTheme="minorHAnsi" w:cstheme="minorHAnsi"/>
                <w:color w:val="000000"/>
                <w:sz w:val="20"/>
                <w:szCs w:val="20"/>
              </w:rPr>
            </w:pPr>
            <w:r>
              <w:rPr>
                <w:rFonts w:asciiTheme="minorHAnsi" w:eastAsia="Calibri" w:hAnsiTheme="minorHAnsi" w:cstheme="minorHAnsi"/>
                <w:color w:val="000000"/>
                <w:sz w:val="20"/>
                <w:szCs w:val="20"/>
              </w:rPr>
              <w:t xml:space="preserve">Details vary significantly by state. CHCs that self-insure for UI will be reimbursed for half their costs; CHCs that pay state UI taxes </w:t>
            </w:r>
            <w:r>
              <w:rPr>
                <w:rFonts w:asciiTheme="minorHAnsi" w:eastAsia="Calibri" w:hAnsiTheme="minorHAnsi" w:cstheme="minorHAnsi"/>
                <w:color w:val="000000"/>
                <w:sz w:val="20"/>
                <w:szCs w:val="20"/>
                <w:u w:val="single"/>
              </w:rPr>
              <w:t>may not</w:t>
            </w:r>
            <w:r>
              <w:rPr>
                <w:rFonts w:asciiTheme="minorHAnsi" w:eastAsia="Calibri" w:hAnsiTheme="minorHAnsi" w:cstheme="minorHAnsi"/>
                <w:color w:val="000000"/>
                <w:sz w:val="20"/>
                <w:szCs w:val="20"/>
              </w:rPr>
              <w:t xml:space="preserve"> have their taxes increase due to employees receiving COVID-19-related UI.  </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966B79" w:rsidRPr="001B12F9" w:rsidRDefault="00966B79" w:rsidP="00966B79">
            <w:pPr>
              <w:rPr>
                <w:rFonts w:asciiTheme="minorHAnsi" w:hAnsiTheme="minorHAnsi" w:cstheme="minorHAnsi"/>
                <w:color w:val="000000"/>
                <w:sz w:val="20"/>
                <w:szCs w:val="20"/>
              </w:rPr>
            </w:pPr>
            <w:r w:rsidRPr="001B12F9">
              <w:rPr>
                <w:rFonts w:asciiTheme="minorHAnsi" w:eastAsia="Calibri" w:hAnsiTheme="minorHAnsi" w:cstheme="minorHAnsi"/>
                <w:color w:val="000000"/>
                <w:sz w:val="20"/>
                <w:szCs w:val="20"/>
              </w:rPr>
              <w:t xml:space="preserve">Contact your state </w:t>
            </w:r>
            <w:hyperlink r:id="rId19" w:history="1">
              <w:r w:rsidRPr="001B12F9">
                <w:rPr>
                  <w:rFonts w:asciiTheme="minorHAnsi" w:eastAsia="Calibri" w:hAnsiTheme="minorHAnsi" w:cstheme="minorHAnsi"/>
                  <w:color w:val="0563C1"/>
                  <w:sz w:val="20"/>
                  <w:szCs w:val="20"/>
                  <w:u w:val="single" w:color="0563C1"/>
                </w:rPr>
                <w:t>unemployment office</w:t>
              </w:r>
            </w:hyperlink>
            <w:r w:rsidRPr="001B12F9">
              <w:rPr>
                <w:rFonts w:asciiTheme="minorHAnsi" w:eastAsia="Calibri" w:hAnsiTheme="minorHAnsi" w:cstheme="minorHAnsi"/>
                <w:color w:val="000000"/>
                <w:sz w:val="20"/>
                <w:szCs w:val="20"/>
              </w:rPr>
              <w:t xml:space="preserve">. </w:t>
            </w:r>
          </w:p>
        </w:tc>
      </w:tr>
    </w:tbl>
    <w:p w:rsidR="002574D9" w:rsidRPr="00AF1717" w:rsidRDefault="002574D9" w:rsidP="002574D9">
      <w:pPr>
        <w:pStyle w:val="Heading1"/>
      </w:pPr>
      <w:bookmarkStart w:id="2" w:name="_Hlk37076634"/>
      <w:r w:rsidRPr="005A1B19">
        <w:lastRenderedPageBreak/>
        <w:t>Paycheck Protection Program (PPP) Loans</w:t>
      </w:r>
    </w:p>
    <w:p w:rsidR="002574D9" w:rsidRPr="00AD6A46" w:rsidRDefault="002574D9" w:rsidP="002574D9">
      <w:pPr>
        <w:jc w:val="center"/>
        <w:rPr>
          <w:rFonts w:asciiTheme="minorHAnsi" w:hAnsiTheme="minorHAnsi" w:cstheme="minorHAnsi"/>
          <w:i/>
          <w:iCs/>
        </w:rPr>
      </w:pPr>
      <w:r>
        <w:rPr>
          <w:rFonts w:asciiTheme="minorHAnsi" w:hAnsiTheme="minorHAnsi" w:cstheme="minorHAnsi"/>
          <w:i/>
          <w:iCs/>
        </w:rPr>
        <w:t>Currently available only to employers with less than 500 employees</w:t>
      </w:r>
    </w:p>
    <w:p w:rsidR="002574D9" w:rsidRPr="005A1B19" w:rsidRDefault="002574D9" w:rsidP="002574D9">
      <w:pPr>
        <w:rPr>
          <w:rFonts w:asciiTheme="minorHAnsi" w:hAnsiTheme="minorHAnsi" w:cstheme="minorHAnsi"/>
          <w:sz w:val="22"/>
          <w:szCs w:val="22"/>
        </w:rPr>
      </w:pPr>
    </w:p>
    <w:p w:rsidR="002574D9" w:rsidRPr="005A1B19" w:rsidRDefault="002574D9" w:rsidP="002574D9">
      <w:pPr>
        <w:rPr>
          <w:rFonts w:asciiTheme="minorHAnsi" w:hAnsiTheme="minorHAnsi" w:cstheme="minorHAnsi"/>
          <w:sz w:val="23"/>
          <w:szCs w:val="23"/>
        </w:rPr>
      </w:pPr>
      <w:r w:rsidRPr="005A1B19">
        <w:rPr>
          <w:rFonts w:asciiTheme="minorHAnsi" w:eastAsia="Calibri" w:hAnsiTheme="minorHAnsi" w:cstheme="minorHAnsi"/>
          <w:sz w:val="23"/>
          <w:szCs w:val="23"/>
        </w:rPr>
        <w:t xml:space="preserve">The </w:t>
      </w:r>
      <w:hyperlink r:id="rId20" w:history="1">
        <w:r w:rsidRPr="005A1B19">
          <w:rPr>
            <w:rFonts w:asciiTheme="minorHAnsi" w:eastAsia="Calibri" w:hAnsiTheme="minorHAnsi" w:cstheme="minorHAnsi"/>
            <w:color w:val="0563C1"/>
            <w:sz w:val="23"/>
            <w:szCs w:val="23"/>
            <w:u w:val="single" w:color="0563C1"/>
          </w:rPr>
          <w:t>Coronavirus Aid, Relief, and Economic Security (CARES) Act</w:t>
        </w:r>
      </w:hyperlink>
      <w:r w:rsidRPr="005A1B19">
        <w:rPr>
          <w:rFonts w:asciiTheme="minorHAnsi" w:eastAsia="Calibri" w:hAnsiTheme="minorHAnsi" w:cstheme="minorHAnsi"/>
          <w:sz w:val="23"/>
          <w:szCs w:val="23"/>
        </w:rPr>
        <w:t xml:space="preserve">, signed into law on March 27, 2020, sets aside $349 billion for small businesses, including health centers. CARES allows health centers with less than 500 employees to take out federally guaranteed loans through commercial banks, and may be </w:t>
      </w:r>
      <w:r w:rsidRPr="005A1B19">
        <w:rPr>
          <w:rFonts w:asciiTheme="minorHAnsi" w:eastAsia="Calibri" w:hAnsiTheme="minorHAnsi" w:cstheme="minorHAnsi"/>
          <w:sz w:val="23"/>
          <w:szCs w:val="23"/>
          <w:u w:val="single"/>
        </w:rPr>
        <w:t>fully forgivable</w:t>
      </w:r>
      <w:r w:rsidRPr="005A1B19">
        <w:rPr>
          <w:rFonts w:asciiTheme="minorHAnsi" w:eastAsia="Calibri" w:hAnsiTheme="minorHAnsi" w:cstheme="minorHAnsi"/>
          <w:sz w:val="23"/>
          <w:szCs w:val="23"/>
        </w:rPr>
        <w:t xml:space="preserve"> provided that health centers can demonstrate that the funds were used as intended. </w:t>
      </w:r>
    </w:p>
    <w:p w:rsidR="002574D9" w:rsidRPr="005A1B19" w:rsidRDefault="002574D9" w:rsidP="002574D9">
      <w:pPr>
        <w:rPr>
          <w:rFonts w:asciiTheme="minorHAnsi" w:hAnsiTheme="minorHAnsi" w:cstheme="minorHAnsi"/>
          <w:sz w:val="23"/>
          <w:szCs w:val="23"/>
        </w:rPr>
      </w:pPr>
    </w:p>
    <w:p w:rsidR="002574D9" w:rsidRPr="005A1B19" w:rsidRDefault="002574D9" w:rsidP="002574D9">
      <w:pPr>
        <w:rPr>
          <w:rFonts w:asciiTheme="minorHAnsi" w:hAnsiTheme="minorHAnsi" w:cstheme="minorHAnsi"/>
          <w:sz w:val="23"/>
          <w:szCs w:val="23"/>
        </w:rPr>
      </w:pPr>
      <w:r w:rsidRPr="005A1B19">
        <w:rPr>
          <w:rFonts w:asciiTheme="minorHAnsi" w:eastAsia="Calibri" w:hAnsiTheme="minorHAnsi" w:cstheme="minorHAnsi"/>
          <w:i/>
          <w:iCs/>
          <w:sz w:val="23"/>
          <w:szCs w:val="23"/>
          <w:u w:val="single"/>
        </w:rPr>
        <w:t>Who qualifies?</w:t>
      </w:r>
    </w:p>
    <w:p w:rsidR="002574D9" w:rsidRPr="005A1B19" w:rsidRDefault="002574D9" w:rsidP="002574D9">
      <w:pPr>
        <w:pBdr>
          <w:left w:val="none" w:sz="0" w:space="7" w:color="auto"/>
        </w:pBdr>
        <w:rPr>
          <w:rFonts w:asciiTheme="minorHAnsi" w:hAnsiTheme="minorHAnsi" w:cstheme="minorHAnsi"/>
          <w:sz w:val="23"/>
          <w:szCs w:val="23"/>
        </w:rPr>
      </w:pPr>
      <w:r>
        <w:rPr>
          <w:rFonts w:asciiTheme="minorHAnsi" w:eastAsia="Calibri" w:hAnsiTheme="minorHAnsi" w:cstheme="minorHAnsi"/>
          <w:sz w:val="23"/>
          <w:szCs w:val="23"/>
        </w:rPr>
        <w:t>S</w:t>
      </w:r>
      <w:r w:rsidRPr="005A1B19">
        <w:rPr>
          <w:rFonts w:asciiTheme="minorHAnsi" w:eastAsia="Calibri" w:hAnsiTheme="minorHAnsi" w:cstheme="minorHAnsi"/>
          <w:sz w:val="23"/>
          <w:szCs w:val="23"/>
        </w:rPr>
        <w:t>mall businesses</w:t>
      </w:r>
      <w:r>
        <w:rPr>
          <w:rFonts w:asciiTheme="minorHAnsi" w:eastAsia="Calibri" w:hAnsiTheme="minorHAnsi" w:cstheme="minorHAnsi"/>
          <w:sz w:val="23"/>
          <w:szCs w:val="23"/>
        </w:rPr>
        <w:t xml:space="preserve"> - including health centers, PCAs, HCCNs, and NTTAPs - with</w:t>
      </w:r>
      <w:r w:rsidRPr="005A1B19">
        <w:rPr>
          <w:rFonts w:asciiTheme="minorHAnsi" w:eastAsia="Calibri" w:hAnsiTheme="minorHAnsi" w:cstheme="minorHAnsi"/>
          <w:sz w:val="23"/>
          <w:szCs w:val="23"/>
        </w:rPr>
        <w:t xml:space="preserve"> up to 500 employees.</w:t>
      </w:r>
      <w:r w:rsidRPr="005A1B19">
        <w:rPr>
          <w:rFonts w:asciiTheme="minorHAnsi" w:eastAsia="Calibri" w:hAnsiTheme="minorHAnsi" w:cstheme="minorHAnsi"/>
          <w:color w:val="000000"/>
          <w:sz w:val="23"/>
          <w:szCs w:val="23"/>
          <w:vertAlign w:val="superscript"/>
        </w:rPr>
        <w:footnoteReference w:id="2"/>
      </w:r>
      <w:r w:rsidRPr="005A1B19">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While employers in the hospitality and food industries are permitted to count employees on a per-site basis, this flexibility does not extend to health care providers.</w:t>
      </w:r>
    </w:p>
    <w:p w:rsidR="002574D9" w:rsidRPr="005A1B19" w:rsidRDefault="002574D9" w:rsidP="002574D9">
      <w:pPr>
        <w:rPr>
          <w:rFonts w:asciiTheme="minorHAnsi" w:hAnsiTheme="minorHAnsi" w:cstheme="minorHAnsi"/>
          <w:sz w:val="23"/>
          <w:szCs w:val="23"/>
        </w:rPr>
      </w:pPr>
    </w:p>
    <w:p w:rsidR="002574D9" w:rsidRPr="005A1B19" w:rsidRDefault="002574D9" w:rsidP="002574D9">
      <w:pPr>
        <w:rPr>
          <w:rFonts w:asciiTheme="minorHAnsi" w:hAnsiTheme="minorHAnsi" w:cstheme="minorHAnsi"/>
          <w:sz w:val="23"/>
          <w:szCs w:val="23"/>
        </w:rPr>
      </w:pPr>
      <w:r w:rsidRPr="005A1B19">
        <w:rPr>
          <w:rFonts w:asciiTheme="minorHAnsi" w:eastAsia="Calibri" w:hAnsiTheme="minorHAnsi" w:cstheme="minorHAnsi"/>
          <w:i/>
          <w:iCs/>
          <w:sz w:val="23"/>
          <w:szCs w:val="23"/>
          <w:u w:val="single"/>
        </w:rPr>
        <w:t>What are the terms?</w:t>
      </w:r>
    </w:p>
    <w:p w:rsidR="002574D9" w:rsidRPr="00561313" w:rsidRDefault="002574D9" w:rsidP="002574D9">
      <w:pPr>
        <w:numPr>
          <w:ilvl w:val="0"/>
          <w:numId w:val="2"/>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 xml:space="preserve">Loans may cover </w:t>
      </w:r>
      <w:r w:rsidRPr="005A1B19">
        <w:rPr>
          <w:rFonts w:asciiTheme="minorHAnsi" w:eastAsia="Calibri" w:hAnsiTheme="minorHAnsi" w:cstheme="minorHAnsi"/>
          <w:sz w:val="23"/>
          <w:szCs w:val="23"/>
          <w:u w:val="single"/>
        </w:rPr>
        <w:t>any</w:t>
      </w:r>
      <w:r w:rsidRPr="005A1B19">
        <w:rPr>
          <w:rFonts w:asciiTheme="minorHAnsi" w:eastAsia="Calibri" w:hAnsiTheme="minorHAnsi" w:cstheme="minorHAnsi"/>
          <w:sz w:val="23"/>
          <w:szCs w:val="23"/>
        </w:rPr>
        <w:t xml:space="preserve"> aspect of employee compensation, as well as mortgage</w:t>
      </w:r>
      <w:r>
        <w:rPr>
          <w:rStyle w:val="FootnoteReference"/>
          <w:rFonts w:asciiTheme="minorHAnsi" w:eastAsia="Calibri" w:hAnsiTheme="minorHAnsi" w:cstheme="minorHAnsi"/>
          <w:sz w:val="23"/>
          <w:szCs w:val="23"/>
        </w:rPr>
        <w:footnoteReference w:id="3"/>
      </w:r>
      <w:r w:rsidRPr="005A1B19">
        <w:rPr>
          <w:rFonts w:asciiTheme="minorHAnsi" w:eastAsia="Calibri" w:hAnsiTheme="minorHAnsi" w:cstheme="minorHAnsi"/>
          <w:sz w:val="23"/>
          <w:szCs w:val="23"/>
        </w:rPr>
        <w:t>, rent, and utilities incurred between February 15, 2020 and June 30, 2020.</w:t>
      </w:r>
    </w:p>
    <w:p w:rsidR="002574D9" w:rsidRPr="005A1B19" w:rsidRDefault="002574D9" w:rsidP="002574D9">
      <w:pPr>
        <w:numPr>
          <w:ilvl w:val="1"/>
          <w:numId w:val="2"/>
        </w:numPr>
        <w:pBdr>
          <w:left w:val="none" w:sz="0" w:space="11" w:color="auto"/>
        </w:pBdr>
        <w:rPr>
          <w:rFonts w:asciiTheme="minorHAnsi" w:hAnsiTheme="minorHAnsi" w:cstheme="minorHAnsi"/>
          <w:sz w:val="23"/>
          <w:szCs w:val="23"/>
        </w:rPr>
      </w:pPr>
      <w:r>
        <w:rPr>
          <w:rFonts w:asciiTheme="minorHAnsi" w:hAnsiTheme="minorHAnsi" w:cstheme="minorHAnsi"/>
          <w:sz w:val="23"/>
          <w:szCs w:val="23"/>
        </w:rPr>
        <w:t>Payroll costs for an individual employee are limited to $100,000 per year, prorated for the period of the loan.</w:t>
      </w:r>
    </w:p>
    <w:p w:rsidR="002574D9" w:rsidRPr="00E1363A" w:rsidRDefault="002574D9" w:rsidP="002574D9">
      <w:pPr>
        <w:numPr>
          <w:ilvl w:val="0"/>
          <w:numId w:val="3"/>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The amount any small business is eligible to borrow is 250 percent of their average monthly payroll expenses</w:t>
      </w:r>
      <w:r>
        <w:rPr>
          <w:rFonts w:asciiTheme="minorHAnsi" w:eastAsia="Calibri" w:hAnsiTheme="minorHAnsi" w:cstheme="minorHAnsi"/>
          <w:sz w:val="23"/>
          <w:szCs w:val="23"/>
        </w:rPr>
        <w:t xml:space="preserve"> (subject to the limit above)</w:t>
      </w:r>
      <w:r w:rsidRPr="005A1B19">
        <w:rPr>
          <w:rFonts w:asciiTheme="minorHAnsi" w:eastAsia="Calibri" w:hAnsiTheme="minorHAnsi" w:cstheme="minorHAnsi"/>
          <w:sz w:val="23"/>
          <w:szCs w:val="23"/>
        </w:rPr>
        <w:t xml:space="preserve">, up to a total of $10 million. This amount is intended to cover 8 weeks of payroll expenses and any additional amounts for making payments towards debt obligations. </w:t>
      </w:r>
    </w:p>
    <w:p w:rsidR="002574D9" w:rsidRPr="005A1B19" w:rsidRDefault="002574D9" w:rsidP="002574D9">
      <w:pPr>
        <w:numPr>
          <w:ilvl w:val="0"/>
          <w:numId w:val="3"/>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 xml:space="preserve">Maximum interest rate is </w:t>
      </w:r>
      <w:r>
        <w:rPr>
          <w:rFonts w:asciiTheme="minorHAnsi" w:eastAsia="Calibri" w:hAnsiTheme="minorHAnsi" w:cstheme="minorHAnsi"/>
          <w:sz w:val="23"/>
          <w:szCs w:val="23"/>
        </w:rPr>
        <w:t>1</w:t>
      </w:r>
      <w:r w:rsidRPr="005A1B19">
        <w:rPr>
          <w:rFonts w:asciiTheme="minorHAnsi" w:eastAsia="Calibri" w:hAnsiTheme="minorHAnsi" w:cstheme="minorHAnsi"/>
          <w:sz w:val="23"/>
          <w:szCs w:val="23"/>
        </w:rPr>
        <w:t xml:space="preserve">%, with no fees. </w:t>
      </w:r>
      <w:r>
        <w:rPr>
          <w:rFonts w:asciiTheme="minorHAnsi" w:eastAsia="Calibri" w:hAnsiTheme="minorHAnsi" w:cstheme="minorHAnsi"/>
          <w:sz w:val="23"/>
          <w:szCs w:val="23"/>
        </w:rPr>
        <w:t xml:space="preserve"> (While the statute allowed a maximum interest rate of 4%, on April 2 the Department of the Treasury set the rate at 1%.)  </w:t>
      </w:r>
    </w:p>
    <w:p w:rsidR="002574D9" w:rsidRPr="005A1B19" w:rsidRDefault="002574D9" w:rsidP="002574D9">
      <w:pPr>
        <w:numPr>
          <w:ilvl w:val="0"/>
          <w:numId w:val="3"/>
        </w:numPr>
        <w:pBdr>
          <w:left w:val="none" w:sz="0" w:space="11" w:color="auto"/>
        </w:pBdr>
        <w:ind w:hanging="502"/>
        <w:rPr>
          <w:rFonts w:asciiTheme="minorHAnsi" w:hAnsiTheme="minorHAnsi" w:cstheme="minorHAnsi"/>
          <w:sz w:val="23"/>
          <w:szCs w:val="23"/>
        </w:rPr>
      </w:pPr>
      <w:r w:rsidRPr="005A1B19">
        <w:rPr>
          <w:rFonts w:asciiTheme="minorHAnsi" w:eastAsia="Calibri" w:hAnsiTheme="minorHAnsi" w:cstheme="minorHAnsi"/>
          <w:sz w:val="23"/>
          <w:szCs w:val="23"/>
        </w:rPr>
        <w:t xml:space="preserve">Payroll costs include employee salaries (up to an annual rate of pay of $100,000), hourly wages and cash tips, paid sick or medical leave, and group health insurance premiums. </w:t>
      </w:r>
    </w:p>
    <w:p w:rsidR="002574D9" w:rsidRPr="005A1B19" w:rsidRDefault="002574D9" w:rsidP="002574D9">
      <w:pPr>
        <w:numPr>
          <w:ilvl w:val="0"/>
          <w:numId w:val="3"/>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Requires lenders to defer all payments including principal, interest, and fees for no less than 6 months and no more than 1 year.</w:t>
      </w:r>
    </w:p>
    <w:p w:rsidR="002574D9" w:rsidRPr="005A1B19" w:rsidRDefault="002574D9" w:rsidP="002574D9">
      <w:pPr>
        <w:numPr>
          <w:ilvl w:val="0"/>
          <w:numId w:val="3"/>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 xml:space="preserve">If you received an EIDL loan related to COVID-19 between January 31, 2020 and the date at which the PPP becomes available, you may refinance the EIDL into the PPP for loan forgiveness purposes. However, you may not take out an EIDL and a PPP for the same purposes. Remaining portions of the EIDL, for purposes other than those laid out in loan forgiveness terms for a PPP loan, would remain a loan. </w:t>
      </w:r>
    </w:p>
    <w:p w:rsidR="002574D9" w:rsidRPr="005A1B19" w:rsidRDefault="002574D9" w:rsidP="002574D9">
      <w:pPr>
        <w:numPr>
          <w:ilvl w:val="0"/>
          <w:numId w:val="3"/>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If you took advantage of an emergency EIDL grant award of up to $10,000, that amount would be subtracted from the amount forgiven under PPP.</w:t>
      </w:r>
    </w:p>
    <w:p w:rsidR="002574D9" w:rsidRPr="005A1B19" w:rsidRDefault="002574D9" w:rsidP="002574D9">
      <w:pPr>
        <w:pBdr>
          <w:left w:val="none" w:sz="0" w:space="7" w:color="auto"/>
        </w:pBdr>
        <w:ind w:left="140"/>
        <w:rPr>
          <w:rFonts w:asciiTheme="minorHAnsi" w:hAnsiTheme="minorHAnsi" w:cstheme="minorHAnsi"/>
          <w:sz w:val="23"/>
          <w:szCs w:val="23"/>
        </w:rPr>
      </w:pPr>
    </w:p>
    <w:p w:rsidR="002574D9" w:rsidRPr="005A1B19" w:rsidRDefault="002574D9" w:rsidP="002574D9">
      <w:pPr>
        <w:pBdr>
          <w:left w:val="none" w:sz="0" w:space="7" w:color="auto"/>
        </w:pBdr>
        <w:ind w:left="140"/>
        <w:rPr>
          <w:rFonts w:asciiTheme="minorHAnsi" w:hAnsiTheme="minorHAnsi" w:cstheme="minorHAnsi"/>
          <w:sz w:val="23"/>
          <w:szCs w:val="23"/>
        </w:rPr>
      </w:pPr>
      <w:r w:rsidRPr="005A1B19">
        <w:rPr>
          <w:rFonts w:asciiTheme="minorHAnsi" w:eastAsia="Calibri" w:hAnsiTheme="minorHAnsi" w:cstheme="minorHAnsi"/>
          <w:i/>
          <w:iCs/>
          <w:sz w:val="23"/>
          <w:szCs w:val="23"/>
          <w:u w:val="single"/>
        </w:rPr>
        <w:t>About loan forgiveness</w:t>
      </w:r>
    </w:p>
    <w:p w:rsidR="002574D9" w:rsidRPr="009F4AC4" w:rsidRDefault="002574D9" w:rsidP="002574D9">
      <w:pPr>
        <w:numPr>
          <w:ilvl w:val="0"/>
          <w:numId w:val="4"/>
        </w:numPr>
        <w:pBdr>
          <w:left w:val="none" w:sz="0" w:space="7" w:color="auto"/>
        </w:pBdr>
        <w:ind w:hanging="430"/>
        <w:rPr>
          <w:rFonts w:asciiTheme="minorHAnsi" w:hAnsiTheme="minorHAnsi" w:cstheme="minorHAnsi"/>
          <w:sz w:val="23"/>
          <w:szCs w:val="23"/>
        </w:rPr>
      </w:pPr>
      <w:r w:rsidRPr="009F4AC4">
        <w:rPr>
          <w:rFonts w:asciiTheme="minorHAnsi" w:hAnsiTheme="minorHAnsi" w:cstheme="minorHAnsi"/>
        </w:rPr>
        <w:t>The loan amounts will be forgiven as long as:</w:t>
      </w:r>
    </w:p>
    <w:p w:rsidR="002574D9" w:rsidRPr="009F4AC4" w:rsidRDefault="002574D9" w:rsidP="002574D9">
      <w:pPr>
        <w:pStyle w:val="ListParagraph"/>
        <w:numPr>
          <w:ilvl w:val="0"/>
          <w:numId w:val="11"/>
        </w:numPr>
        <w:pBdr>
          <w:left w:val="none" w:sz="0" w:space="7" w:color="auto"/>
        </w:pBdr>
        <w:spacing w:after="0" w:line="240" w:lineRule="auto"/>
        <w:ind w:left="1080"/>
        <w:rPr>
          <w:rFonts w:cstheme="minorHAnsi"/>
        </w:rPr>
      </w:pPr>
      <w:r w:rsidRPr="009F4AC4">
        <w:rPr>
          <w:rFonts w:cstheme="minorHAnsi"/>
        </w:rPr>
        <w:t xml:space="preserve">The loan proceeds are used to cover payroll costs, and most mortgage interest, rent, and utility costs over the 8-week period after the loan is made; and </w:t>
      </w:r>
    </w:p>
    <w:p w:rsidR="002574D9" w:rsidRPr="009F4AC4" w:rsidRDefault="002574D9" w:rsidP="002574D9">
      <w:pPr>
        <w:pStyle w:val="ListParagraph"/>
        <w:numPr>
          <w:ilvl w:val="0"/>
          <w:numId w:val="11"/>
        </w:numPr>
        <w:pBdr>
          <w:left w:val="none" w:sz="0" w:space="7" w:color="auto"/>
        </w:pBdr>
        <w:spacing w:after="0" w:line="240" w:lineRule="auto"/>
        <w:ind w:left="1080"/>
        <w:rPr>
          <w:rFonts w:cstheme="minorHAnsi"/>
          <w:sz w:val="23"/>
          <w:szCs w:val="23"/>
        </w:rPr>
      </w:pPr>
      <w:r w:rsidRPr="009F4AC4">
        <w:rPr>
          <w:rFonts w:cstheme="minorHAnsi"/>
        </w:rPr>
        <w:t>Employee and compensation levels are maintained. Due to likely high subscription, it is anticipated that not more than 25% of the forgiven amount may be for non-payroll costs.</w:t>
      </w:r>
    </w:p>
    <w:p w:rsidR="002574D9" w:rsidRPr="005A1B19" w:rsidRDefault="002574D9" w:rsidP="002574D9">
      <w:pPr>
        <w:numPr>
          <w:ilvl w:val="0"/>
          <w:numId w:val="4"/>
        </w:numPr>
        <w:pBdr>
          <w:left w:val="none" w:sz="0" w:space="7" w:color="auto"/>
        </w:pBdr>
        <w:ind w:hanging="430"/>
        <w:rPr>
          <w:rFonts w:asciiTheme="minorHAnsi" w:hAnsiTheme="minorHAnsi" w:cstheme="minorHAnsi"/>
          <w:sz w:val="23"/>
          <w:szCs w:val="23"/>
        </w:rPr>
      </w:pPr>
      <w:r w:rsidRPr="005A1B19">
        <w:rPr>
          <w:rFonts w:asciiTheme="minorHAnsi" w:eastAsia="Calibri" w:hAnsiTheme="minorHAnsi" w:cstheme="minorHAnsi"/>
          <w:sz w:val="23"/>
          <w:szCs w:val="23"/>
        </w:rPr>
        <w:t xml:space="preserve">Borrowers will work with lenders for any documentation. The amount of principal that may be forgiven is equal to the sum of expenses for payroll, and existing </w:t>
      </w:r>
      <w:r w:rsidRPr="003C30E5">
        <w:rPr>
          <w:rFonts w:asciiTheme="minorHAnsi" w:eastAsia="Calibri" w:hAnsiTheme="minorHAnsi" w:cstheme="minorHAnsi"/>
          <w:i/>
          <w:iCs/>
          <w:sz w:val="23"/>
          <w:szCs w:val="23"/>
        </w:rPr>
        <w:t>interest payments</w:t>
      </w:r>
      <w:r w:rsidRPr="005A1B19">
        <w:rPr>
          <w:rFonts w:asciiTheme="minorHAnsi" w:eastAsia="Calibri" w:hAnsiTheme="minorHAnsi" w:cstheme="minorHAnsi"/>
          <w:sz w:val="23"/>
          <w:szCs w:val="23"/>
        </w:rPr>
        <w:t xml:space="preserve"> on mortgages</w:t>
      </w:r>
      <w:r>
        <w:rPr>
          <w:rFonts w:asciiTheme="minorHAnsi" w:eastAsia="Calibri" w:hAnsiTheme="minorHAnsi" w:cstheme="minorHAnsi"/>
          <w:sz w:val="23"/>
          <w:szCs w:val="23"/>
        </w:rPr>
        <w:t xml:space="preserve"> (but not principal)</w:t>
      </w:r>
      <w:r w:rsidRPr="005A1B19">
        <w:rPr>
          <w:rFonts w:asciiTheme="minorHAnsi" w:eastAsia="Calibri" w:hAnsiTheme="minorHAnsi" w:cstheme="minorHAnsi"/>
          <w:sz w:val="23"/>
          <w:szCs w:val="23"/>
        </w:rPr>
        <w:t xml:space="preserve">, rent payments, leases, and utility service agreements. </w:t>
      </w:r>
    </w:p>
    <w:p w:rsidR="002574D9" w:rsidRPr="005A1B19" w:rsidRDefault="002574D9" w:rsidP="002574D9">
      <w:pPr>
        <w:numPr>
          <w:ilvl w:val="0"/>
          <w:numId w:val="4"/>
        </w:numPr>
        <w:pBdr>
          <w:left w:val="none" w:sz="0" w:space="7" w:color="auto"/>
        </w:pBdr>
        <w:ind w:hanging="430"/>
        <w:rPr>
          <w:rFonts w:asciiTheme="minorHAnsi" w:hAnsiTheme="minorHAnsi" w:cstheme="minorHAnsi"/>
          <w:sz w:val="23"/>
          <w:szCs w:val="23"/>
        </w:rPr>
      </w:pPr>
      <w:r w:rsidRPr="005A1B19">
        <w:rPr>
          <w:rFonts w:asciiTheme="minorHAnsi" w:eastAsia="Calibri" w:hAnsiTheme="minorHAnsi" w:cstheme="minorHAnsi"/>
          <w:sz w:val="23"/>
          <w:szCs w:val="23"/>
        </w:rPr>
        <w:t>If you to use the Paycheck Protection Program for other business-related expenses, like inventory, you can, but that portion of the loan will not be forgiven.</w:t>
      </w:r>
    </w:p>
    <w:p w:rsidR="002574D9" w:rsidRPr="005A1B19" w:rsidRDefault="002574D9" w:rsidP="002574D9">
      <w:pPr>
        <w:numPr>
          <w:ilvl w:val="0"/>
          <w:numId w:val="4"/>
        </w:numPr>
        <w:pBdr>
          <w:left w:val="none" w:sz="0" w:space="7" w:color="auto"/>
        </w:pBdr>
        <w:ind w:hanging="430"/>
        <w:rPr>
          <w:rFonts w:asciiTheme="minorHAnsi" w:hAnsiTheme="minorHAnsi" w:cstheme="minorHAnsi"/>
          <w:sz w:val="23"/>
          <w:szCs w:val="23"/>
        </w:rPr>
      </w:pPr>
      <w:r w:rsidRPr="005A1B19">
        <w:rPr>
          <w:rFonts w:asciiTheme="minorHAnsi" w:eastAsia="Calibri" w:hAnsiTheme="minorHAnsi" w:cstheme="minorHAnsi"/>
          <w:sz w:val="23"/>
          <w:szCs w:val="23"/>
        </w:rPr>
        <w:lastRenderedPageBreak/>
        <w:t>If your total payroll expenses on workers making less than $100,000 annually decreases by more than 25 percent, loan forgiveness will be reduced by the same amount. If you have already laid off some employees, you can still be forgiven for the full amount of your payroll cost if you rehire your employees by June 30, 2020.</w:t>
      </w:r>
    </w:p>
    <w:p w:rsidR="002574D9" w:rsidRPr="005A1B19" w:rsidRDefault="002574D9" w:rsidP="002574D9">
      <w:pPr>
        <w:pBdr>
          <w:left w:val="none" w:sz="0" w:space="7" w:color="auto"/>
        </w:pBdr>
        <w:ind w:left="140"/>
        <w:rPr>
          <w:rFonts w:asciiTheme="minorHAnsi" w:hAnsiTheme="minorHAnsi" w:cstheme="minorHAnsi"/>
          <w:sz w:val="23"/>
          <w:szCs w:val="23"/>
        </w:rPr>
      </w:pPr>
    </w:p>
    <w:p w:rsidR="002574D9" w:rsidRDefault="002574D9" w:rsidP="002574D9">
      <w:pPr>
        <w:rPr>
          <w:rFonts w:asciiTheme="minorHAnsi" w:eastAsia="Calibri" w:hAnsiTheme="minorHAnsi" w:cstheme="minorHAnsi"/>
          <w:i/>
          <w:iCs/>
          <w:sz w:val="23"/>
          <w:szCs w:val="23"/>
        </w:rPr>
      </w:pPr>
      <w:r w:rsidRPr="005A1B19">
        <w:rPr>
          <w:rFonts w:asciiTheme="minorHAnsi" w:eastAsia="Calibri" w:hAnsiTheme="minorHAnsi" w:cstheme="minorHAnsi"/>
          <w:i/>
          <w:iCs/>
          <w:sz w:val="23"/>
          <w:szCs w:val="23"/>
          <w:u w:val="single"/>
        </w:rPr>
        <w:t>How do I apply?</w:t>
      </w:r>
      <w:r>
        <w:rPr>
          <w:rFonts w:asciiTheme="minorHAnsi" w:eastAsia="Calibri" w:hAnsiTheme="minorHAnsi" w:cstheme="minorHAnsi"/>
          <w:i/>
          <w:iCs/>
          <w:sz w:val="23"/>
          <w:szCs w:val="23"/>
        </w:rPr>
        <w:t xml:space="preserve">  </w:t>
      </w:r>
    </w:p>
    <w:p w:rsidR="00D625D0" w:rsidRPr="00D625D0" w:rsidRDefault="002574D9" w:rsidP="00D625D0">
      <w:pPr>
        <w:pStyle w:val="ListParagraph"/>
        <w:numPr>
          <w:ilvl w:val="0"/>
          <w:numId w:val="14"/>
        </w:numPr>
        <w:rPr>
          <w:rFonts w:ascii="Calibri" w:eastAsia="Calibri" w:hAnsi="Calibri" w:cs="Calibri"/>
        </w:rPr>
      </w:pPr>
      <w:r w:rsidRPr="00D625D0">
        <w:rPr>
          <w:rFonts w:eastAsia="Calibri" w:cstheme="minorHAnsi"/>
          <w:sz w:val="23"/>
          <w:szCs w:val="23"/>
        </w:rPr>
        <w:t xml:space="preserve">Call your bank or find SBA-approved lenders in your area through SBA’s </w:t>
      </w:r>
      <w:hyperlink r:id="rId21" w:history="1">
        <w:r w:rsidRPr="00D625D0">
          <w:rPr>
            <w:rFonts w:eastAsia="Calibri" w:cstheme="minorHAnsi"/>
            <w:color w:val="0563C1"/>
            <w:sz w:val="23"/>
            <w:szCs w:val="23"/>
          </w:rPr>
          <w:t>Lender Match</w:t>
        </w:r>
      </w:hyperlink>
      <w:r w:rsidRPr="00D625D0">
        <w:rPr>
          <w:rFonts w:eastAsia="Calibri" w:cstheme="minorHAnsi"/>
          <w:sz w:val="23"/>
          <w:szCs w:val="23"/>
        </w:rPr>
        <w:t xml:space="preserve"> tool. For help, call your local </w:t>
      </w:r>
      <w:hyperlink r:id="rId22" w:history="1">
        <w:r w:rsidRPr="00D625D0">
          <w:rPr>
            <w:rFonts w:eastAsia="Calibri" w:cstheme="minorHAnsi"/>
            <w:color w:val="0563C1"/>
            <w:sz w:val="23"/>
            <w:szCs w:val="23"/>
          </w:rPr>
          <w:t>Small Business Development Center</w:t>
        </w:r>
      </w:hyperlink>
      <w:r w:rsidRPr="00D625D0">
        <w:rPr>
          <w:rFonts w:eastAsia="Calibri" w:cstheme="minorHAnsi"/>
          <w:sz w:val="23"/>
          <w:szCs w:val="23"/>
        </w:rPr>
        <w:t xml:space="preserve">. </w:t>
      </w:r>
    </w:p>
    <w:p w:rsidR="00D625D0" w:rsidRPr="00D625D0" w:rsidRDefault="00D625D0" w:rsidP="00D625D0">
      <w:pPr>
        <w:pStyle w:val="ListParagraph"/>
        <w:numPr>
          <w:ilvl w:val="0"/>
          <w:numId w:val="14"/>
        </w:numPr>
        <w:rPr>
          <w:rFonts w:ascii="Calibri" w:eastAsia="Calibri" w:hAnsi="Calibri" w:cs="Calibri"/>
        </w:rPr>
      </w:pPr>
      <w:r w:rsidRPr="00D625D0">
        <w:rPr>
          <w:rFonts w:ascii="Calibri" w:eastAsia="Calibri" w:hAnsi="Calibri" w:cs="Calibri"/>
        </w:rPr>
        <w:t xml:space="preserve">To date, health centers have generally had more success working with smaller, </w:t>
      </w:r>
      <w:r>
        <w:rPr>
          <w:rFonts w:ascii="Calibri" w:eastAsia="Calibri" w:hAnsi="Calibri" w:cs="Calibri"/>
        </w:rPr>
        <w:t xml:space="preserve">regional banks </w:t>
      </w:r>
      <w:r w:rsidRPr="00D625D0">
        <w:rPr>
          <w:rFonts w:ascii="Calibri" w:eastAsia="Calibri" w:hAnsi="Calibri" w:cs="Calibri"/>
        </w:rPr>
        <w:t xml:space="preserve">– particularly those with whom they have an existing relationship – than with the larger national banks.  </w:t>
      </w:r>
    </w:p>
    <w:p w:rsidR="00D625D0" w:rsidRPr="00D625D0" w:rsidRDefault="00D625D0" w:rsidP="002574D9">
      <w:pPr>
        <w:rPr>
          <w:rFonts w:asciiTheme="minorHAnsi" w:eastAsia="Calibri" w:hAnsiTheme="minorHAnsi" w:cstheme="minorHAnsi"/>
          <w:i/>
          <w:iCs/>
          <w:sz w:val="23"/>
          <w:szCs w:val="23"/>
          <w:u w:val="single"/>
        </w:rPr>
      </w:pPr>
      <w:r>
        <w:rPr>
          <w:rFonts w:asciiTheme="minorHAnsi" w:eastAsia="Calibri" w:hAnsiTheme="minorHAnsi" w:cstheme="minorHAnsi"/>
          <w:i/>
          <w:iCs/>
          <w:sz w:val="23"/>
          <w:szCs w:val="23"/>
          <w:u w:val="single"/>
        </w:rPr>
        <w:t>Is there a deadline for applying?</w:t>
      </w:r>
    </w:p>
    <w:p w:rsidR="002574D9" w:rsidRDefault="00D625D0" w:rsidP="002574D9">
      <w:pPr>
        <w:rPr>
          <w:rFonts w:ascii="Calibri" w:eastAsia="Calibri" w:hAnsi="Calibri" w:cs="Calibri"/>
        </w:rPr>
      </w:pPr>
      <w:r>
        <w:rPr>
          <w:rFonts w:asciiTheme="minorHAnsi" w:eastAsia="Calibri" w:hAnsiTheme="minorHAnsi" w:cstheme="minorHAnsi"/>
          <w:sz w:val="23"/>
          <w:szCs w:val="23"/>
        </w:rPr>
        <w:t xml:space="preserve">Theoretically, the PPP program is </w:t>
      </w:r>
      <w:r w:rsidR="002574D9" w:rsidRPr="005A1B19">
        <w:rPr>
          <w:rFonts w:asciiTheme="minorHAnsi" w:eastAsia="Calibri" w:hAnsiTheme="minorHAnsi" w:cstheme="minorHAnsi"/>
          <w:sz w:val="23"/>
          <w:szCs w:val="23"/>
        </w:rPr>
        <w:t>available until June 30, 2020.</w:t>
      </w:r>
      <w:r w:rsidR="002574D9">
        <w:rPr>
          <w:rFonts w:ascii="Calibri" w:eastAsia="Calibri" w:hAnsi="Calibri" w:cs="Calibri"/>
        </w:rPr>
        <w:t xml:space="preserve">  </w:t>
      </w:r>
      <w:r>
        <w:rPr>
          <w:rFonts w:ascii="Calibri" w:eastAsia="Calibri" w:hAnsi="Calibri" w:cs="Calibri"/>
        </w:rPr>
        <w:t xml:space="preserve">However, the program is disbursing funds on  first-come-first-served basis, and within 5 days of starting to accept applications, the SBA was expressing concerns about running out of funds.  Congress is currently discussing the possibility of adding more funds.  </w:t>
      </w:r>
    </w:p>
    <w:p w:rsidR="002574D9" w:rsidRDefault="002574D9" w:rsidP="002574D9">
      <w:pPr>
        <w:rPr>
          <w:rFonts w:ascii="Calibri" w:eastAsia="Calibri" w:hAnsi="Calibri" w:cs="Calibri"/>
        </w:rPr>
      </w:pPr>
    </w:p>
    <w:p w:rsidR="002574D9" w:rsidRDefault="002574D9" w:rsidP="002574D9">
      <w:pPr>
        <w:rPr>
          <w:rFonts w:ascii="Calibri" w:eastAsia="Calibri" w:hAnsi="Calibri" w:cs="Calibri"/>
          <w:i/>
          <w:iCs/>
          <w:u w:val="single"/>
        </w:rPr>
      </w:pPr>
      <w:r>
        <w:rPr>
          <w:rFonts w:ascii="Calibri" w:eastAsia="Calibri" w:hAnsi="Calibri" w:cs="Calibri"/>
          <w:i/>
          <w:iCs/>
          <w:u w:val="single"/>
        </w:rPr>
        <w:t xml:space="preserve">What NAICS code should we use in our application? </w:t>
      </w:r>
    </w:p>
    <w:p w:rsidR="002574D9" w:rsidRPr="00B710E3" w:rsidRDefault="002574D9" w:rsidP="002574D9">
      <w:pPr>
        <w:rPr>
          <w:rFonts w:asciiTheme="minorHAnsi" w:eastAsia="Calibri" w:hAnsiTheme="minorHAnsi" w:cstheme="minorHAnsi"/>
          <w:i/>
          <w:iCs/>
          <w:u w:val="single"/>
        </w:rPr>
      </w:pPr>
      <w:r w:rsidRPr="00B710E3">
        <w:rPr>
          <w:rFonts w:asciiTheme="minorHAnsi" w:hAnsiTheme="minorHAnsi" w:cstheme="minorHAnsi"/>
          <w:color w:val="333333"/>
          <w:shd w:val="clear" w:color="auto" w:fill="FFFFFF"/>
        </w:rPr>
        <w:t>The recommended NAICS</w:t>
      </w:r>
      <w:r>
        <w:rPr>
          <w:rFonts w:asciiTheme="minorHAnsi" w:hAnsiTheme="minorHAnsi" w:cstheme="minorHAnsi"/>
          <w:color w:val="333333"/>
          <w:shd w:val="clear" w:color="auto" w:fill="FFFFFF"/>
        </w:rPr>
        <w:t xml:space="preserve"> code </w:t>
      </w:r>
      <w:r w:rsidRPr="00B710E3">
        <w:rPr>
          <w:rFonts w:asciiTheme="minorHAnsi" w:hAnsiTheme="minorHAnsi" w:cstheme="minorHAnsi"/>
          <w:color w:val="333333"/>
          <w:shd w:val="clear" w:color="auto" w:fill="FFFFFF"/>
        </w:rPr>
        <w:t>for FQHCs applying for SBA loan programs is 621498.</w:t>
      </w:r>
      <w:r>
        <w:rPr>
          <w:rFonts w:asciiTheme="minorHAnsi" w:hAnsiTheme="minorHAnsi" w:cstheme="minorHAnsi"/>
          <w:color w:val="333333"/>
          <w:shd w:val="clear" w:color="auto" w:fill="FFFFFF"/>
        </w:rPr>
        <w:t xml:space="preserve">  </w:t>
      </w:r>
      <w:r w:rsidRPr="00B710E3">
        <w:rPr>
          <w:rFonts w:asciiTheme="minorHAnsi" w:hAnsiTheme="minorHAnsi" w:cstheme="minorHAnsi"/>
        </w:rPr>
        <w:t xml:space="preserve">The best code for PCAs is probably 813910. The descriptor is on the bottom of page 587 </w:t>
      </w:r>
      <w:hyperlink r:id="rId23" w:history="1">
        <w:r w:rsidRPr="00B710E3">
          <w:rPr>
            <w:rStyle w:val="Hyperlink"/>
            <w:rFonts w:asciiTheme="minorHAnsi" w:hAnsiTheme="minorHAnsi" w:cstheme="minorHAnsi"/>
          </w:rPr>
          <w:t>here.</w:t>
        </w:r>
      </w:hyperlink>
    </w:p>
    <w:p w:rsidR="002574D9" w:rsidRDefault="002574D9" w:rsidP="002574D9">
      <w:pPr>
        <w:rPr>
          <w:rFonts w:ascii="Calibri" w:eastAsia="Calibri" w:hAnsi="Calibri" w:cs="Calibri"/>
        </w:rPr>
      </w:pPr>
    </w:p>
    <w:p w:rsidR="002574D9" w:rsidRDefault="002574D9" w:rsidP="002574D9">
      <w:pPr>
        <w:rPr>
          <w:rFonts w:ascii="Calibri" w:eastAsia="Calibri" w:hAnsi="Calibri" w:cs="Calibri"/>
        </w:rPr>
      </w:pPr>
      <w:r>
        <w:rPr>
          <w:rFonts w:ascii="Calibri" w:eastAsia="Calibri" w:hAnsi="Calibri" w:cs="Calibri"/>
          <w:i/>
          <w:iCs/>
          <w:u w:val="single"/>
        </w:rPr>
        <w:t>Any other suggestions?</w:t>
      </w:r>
    </w:p>
    <w:p w:rsidR="00D625D0" w:rsidRPr="00D625D0" w:rsidRDefault="00D625D0" w:rsidP="00D625D0">
      <w:pPr>
        <w:pStyle w:val="NormalWeb"/>
        <w:shd w:val="clear" w:color="auto" w:fill="FFFFFF"/>
        <w:spacing w:before="0" w:beforeAutospacing="0" w:after="150" w:afterAutospacing="0"/>
        <w:rPr>
          <w:rFonts w:asciiTheme="minorHAnsi" w:hAnsiTheme="minorHAnsi" w:cstheme="minorHAnsi"/>
          <w:color w:val="333333"/>
        </w:rPr>
      </w:pPr>
      <w:r w:rsidRPr="00D625D0">
        <w:rPr>
          <w:rFonts w:asciiTheme="minorHAnsi" w:hAnsiTheme="minorHAnsi" w:cstheme="minorHAnsi"/>
          <w:color w:val="333333"/>
        </w:rPr>
        <w:t xml:space="preserve">The statute creating the Paycheck Protection Program indicates that applicants like health centers should receive priority in the process and disbursement of PPP Loans.  However, </w:t>
      </w:r>
      <w:r w:rsidR="002A2002">
        <w:rPr>
          <w:rFonts w:asciiTheme="minorHAnsi" w:hAnsiTheme="minorHAnsi" w:cstheme="minorHAnsi"/>
          <w:color w:val="333333"/>
        </w:rPr>
        <w:t xml:space="preserve">it appears that </w:t>
      </w:r>
      <w:r w:rsidRPr="00D625D0">
        <w:rPr>
          <w:rFonts w:asciiTheme="minorHAnsi" w:hAnsiTheme="minorHAnsi" w:cstheme="minorHAnsi"/>
          <w:color w:val="333333"/>
        </w:rPr>
        <w:t>the SBA has not informed lenders about this priority, and therefore most lenders are not aware of it.  NACHC</w:t>
      </w:r>
      <w:r w:rsidR="002A2002">
        <w:rPr>
          <w:rFonts w:asciiTheme="minorHAnsi" w:hAnsiTheme="minorHAnsi" w:cstheme="minorHAnsi"/>
          <w:color w:val="333333"/>
        </w:rPr>
        <w:t xml:space="preserve"> has already </w:t>
      </w:r>
      <w:r w:rsidRPr="00D625D0">
        <w:rPr>
          <w:rFonts w:asciiTheme="minorHAnsi" w:hAnsiTheme="minorHAnsi" w:cstheme="minorHAnsi"/>
          <w:color w:val="333333"/>
        </w:rPr>
        <w:t>reach</w:t>
      </w:r>
      <w:r w:rsidR="002A2002">
        <w:rPr>
          <w:rFonts w:asciiTheme="minorHAnsi" w:hAnsiTheme="minorHAnsi" w:cstheme="minorHAnsi"/>
          <w:color w:val="333333"/>
        </w:rPr>
        <w:t>ed</w:t>
      </w:r>
      <w:r w:rsidRPr="00D625D0">
        <w:rPr>
          <w:rFonts w:asciiTheme="minorHAnsi" w:hAnsiTheme="minorHAnsi" w:cstheme="minorHAnsi"/>
          <w:color w:val="333333"/>
        </w:rPr>
        <w:t xml:space="preserve"> out to the SBA to insist that they inform lenders of these prioritization requirements ASAP.  However, given how quickly this program is being implemented, health centers applying for PPP loans may want to alert lenders themselves.  To assist with this, </w:t>
      </w:r>
      <w:r w:rsidR="002A2002">
        <w:rPr>
          <w:rFonts w:asciiTheme="minorHAnsi" w:hAnsiTheme="minorHAnsi" w:cstheme="minorHAnsi"/>
          <w:color w:val="333333"/>
        </w:rPr>
        <w:t>both the NACHC webpage and Noddlepod contain a letter to the SBA</w:t>
      </w:r>
      <w:r w:rsidRPr="00D625D0">
        <w:rPr>
          <w:rFonts w:asciiTheme="minorHAnsi" w:hAnsiTheme="minorHAnsi" w:cstheme="minorHAnsi"/>
          <w:color w:val="333333"/>
        </w:rPr>
        <w:t>, which outlines both:</w:t>
      </w:r>
    </w:p>
    <w:p w:rsidR="00D625D0" w:rsidRPr="00D625D0" w:rsidRDefault="00D625D0" w:rsidP="00D625D0">
      <w:pPr>
        <w:numPr>
          <w:ilvl w:val="0"/>
          <w:numId w:val="15"/>
        </w:numPr>
        <w:shd w:val="clear" w:color="auto" w:fill="FFFFFF"/>
        <w:spacing w:before="100" w:beforeAutospacing="1" w:after="100" w:afterAutospacing="1"/>
        <w:rPr>
          <w:rFonts w:asciiTheme="minorHAnsi" w:hAnsiTheme="minorHAnsi" w:cstheme="minorHAnsi"/>
          <w:color w:val="333333"/>
        </w:rPr>
      </w:pPr>
      <w:r w:rsidRPr="00D625D0">
        <w:rPr>
          <w:rFonts w:asciiTheme="minorHAnsi" w:hAnsiTheme="minorHAnsi" w:cstheme="minorHAnsi"/>
          <w:color w:val="333333"/>
        </w:rPr>
        <w:t>the language in the PPP law outlines the criteria for which borrowers get priority, and</w:t>
      </w:r>
    </w:p>
    <w:p w:rsidR="00D625D0" w:rsidRPr="00D625D0" w:rsidRDefault="00D625D0" w:rsidP="00D625D0">
      <w:pPr>
        <w:numPr>
          <w:ilvl w:val="0"/>
          <w:numId w:val="15"/>
        </w:numPr>
        <w:shd w:val="clear" w:color="auto" w:fill="FFFFFF"/>
        <w:spacing w:before="100" w:beforeAutospacing="1" w:after="100" w:afterAutospacing="1"/>
        <w:rPr>
          <w:rFonts w:asciiTheme="minorHAnsi" w:hAnsiTheme="minorHAnsi" w:cstheme="minorHAnsi"/>
          <w:color w:val="333333"/>
        </w:rPr>
      </w:pPr>
      <w:r w:rsidRPr="00D625D0">
        <w:rPr>
          <w:rFonts w:asciiTheme="minorHAnsi" w:hAnsiTheme="minorHAnsi" w:cstheme="minorHAnsi"/>
          <w:color w:val="333333"/>
        </w:rPr>
        <w:t>the language from Section 330 that demonstrates that health centers meet these criteria. </w:t>
      </w:r>
    </w:p>
    <w:p w:rsidR="00D625D0" w:rsidRDefault="002A2002" w:rsidP="00D625D0">
      <w:pPr>
        <w:rPr>
          <w:rFonts w:ascii="Calibri" w:eastAsia="Calibri" w:hAnsi="Calibri" w:cs="Calibri"/>
        </w:rPr>
      </w:pPr>
      <w:r>
        <w:rPr>
          <w:rFonts w:ascii="Calibri" w:eastAsia="Calibri" w:hAnsi="Calibri" w:cs="Calibri"/>
        </w:rPr>
        <w:t xml:space="preserve">Health centers may want to attach this letter to their applications, to ensure that lenders are informed that they should receive priority.  </w:t>
      </w:r>
    </w:p>
    <w:p w:rsidR="002574D9" w:rsidRDefault="002574D9" w:rsidP="002574D9">
      <w:pPr>
        <w:rPr>
          <w:rFonts w:ascii="Calibri" w:eastAsia="Calibri" w:hAnsi="Calibri" w:cs="Calibri"/>
        </w:rPr>
      </w:pPr>
    </w:p>
    <w:p w:rsidR="002574D9" w:rsidRDefault="002574D9" w:rsidP="002574D9">
      <w:pPr>
        <w:rPr>
          <w:rFonts w:ascii="Calibri" w:eastAsia="Calibri" w:hAnsi="Calibri" w:cs="Calibri"/>
          <w:i/>
          <w:iCs/>
          <w:u w:val="single"/>
        </w:rPr>
      </w:pPr>
      <w:r>
        <w:rPr>
          <w:rFonts w:ascii="Calibri" w:eastAsia="Calibri" w:hAnsi="Calibri" w:cs="Calibri"/>
          <w:i/>
          <w:iCs/>
          <w:u w:val="single"/>
        </w:rPr>
        <w:t>Where can I get more information?</w:t>
      </w:r>
    </w:p>
    <w:p w:rsidR="002574D9" w:rsidRPr="00E1363A" w:rsidRDefault="002574D9" w:rsidP="002574D9">
      <w:pPr>
        <w:rPr>
          <w:rFonts w:ascii="Calibri" w:eastAsia="Calibri" w:hAnsi="Calibri" w:cs="Calibri"/>
          <w:u w:val="single"/>
        </w:rPr>
      </w:pPr>
      <w:r w:rsidRPr="00E1363A">
        <w:rPr>
          <w:rFonts w:ascii="Calibri" w:eastAsia="Calibri" w:hAnsi="Calibri" w:cs="Calibri"/>
        </w:rPr>
        <w:t xml:space="preserve">The Treasury Department has </w:t>
      </w:r>
      <w:r w:rsidRPr="00847E0B">
        <w:rPr>
          <w:rFonts w:asciiTheme="minorHAnsi" w:eastAsia="Calibri" w:hAnsiTheme="minorHAnsi" w:cstheme="minorHAnsi"/>
        </w:rPr>
        <w:t xml:space="preserve">issued a </w:t>
      </w:r>
      <w:hyperlink r:id="rId24" w:history="1">
        <w:r w:rsidRPr="00847E0B">
          <w:rPr>
            <w:rStyle w:val="Hyperlink"/>
            <w:rFonts w:asciiTheme="minorHAnsi" w:hAnsiTheme="minorHAnsi" w:cstheme="minorHAnsi"/>
          </w:rPr>
          <w:t>Fact Sheet</w:t>
        </w:r>
      </w:hyperlink>
      <w:r w:rsidRPr="00E1363A">
        <w:rPr>
          <w:rFonts w:ascii="Calibri" w:eastAsia="Calibri" w:hAnsi="Calibri" w:cs="Calibri"/>
        </w:rPr>
        <w:t xml:space="preserve"> on the Paycheck Protection Program</w:t>
      </w:r>
      <w:r>
        <w:rPr>
          <w:rFonts w:ascii="Calibri" w:eastAsia="Calibri" w:hAnsi="Calibri" w:cs="Calibri"/>
          <w:u w:val="single"/>
        </w:rPr>
        <w:t xml:space="preserve">  </w:t>
      </w:r>
    </w:p>
    <w:bookmarkEnd w:id="2"/>
    <w:p w:rsidR="002574D9" w:rsidRDefault="002574D9" w:rsidP="002574D9">
      <w:pPr>
        <w:rPr>
          <w:rFonts w:ascii="Calibri" w:eastAsia="Calibri" w:hAnsi="Calibri" w:cs="Calibri"/>
        </w:rPr>
      </w:pPr>
    </w:p>
    <w:p w:rsidR="002574D9" w:rsidRDefault="002574D9" w:rsidP="002574D9">
      <w:pPr>
        <w:rPr>
          <w:rFonts w:ascii="Calibri" w:eastAsia="Calibri" w:hAnsi="Calibri" w:cs="Calibri"/>
        </w:rPr>
      </w:pPr>
    </w:p>
    <w:p w:rsidR="002574D9" w:rsidRDefault="002574D9" w:rsidP="002574D9"/>
    <w:p w:rsidR="002574D9" w:rsidRDefault="002574D9">
      <w:pPr>
        <w:rPr>
          <w:rFonts w:ascii="Calibri" w:eastAsia="Calibri" w:hAnsi="Calibri" w:cs="Calibri"/>
          <w:b/>
          <w:bCs/>
          <w:sz w:val="28"/>
          <w:szCs w:val="28"/>
        </w:rPr>
      </w:pPr>
      <w:r>
        <w:br w:type="page"/>
      </w:r>
    </w:p>
    <w:p w:rsidR="0027135D" w:rsidRDefault="004E451C" w:rsidP="00E34C5E">
      <w:pPr>
        <w:pStyle w:val="Heading1"/>
      </w:pPr>
      <w:r>
        <w:lastRenderedPageBreak/>
        <w:t>Emergency Paid Sick Leave and Emergency Family Leave</w:t>
      </w:r>
    </w:p>
    <w:p w:rsidR="0027135D" w:rsidRDefault="0027135D"/>
    <w:p w:rsidR="0027135D" w:rsidRDefault="002038C8">
      <w:hyperlink r:id="rId25" w:history="1">
        <w:r w:rsidR="004E451C">
          <w:rPr>
            <w:rFonts w:ascii="Calibri" w:eastAsia="Calibri" w:hAnsi="Calibri" w:cs="Calibri"/>
            <w:color w:val="0563C1"/>
            <w:u w:val="single" w:color="0563C1"/>
          </w:rPr>
          <w:t>The Families First Coronavirus Response Act</w:t>
        </w:r>
      </w:hyperlink>
      <w:r w:rsidR="004E451C">
        <w:rPr>
          <w:rFonts w:ascii="Calibri" w:eastAsia="Calibri" w:hAnsi="Calibri" w:cs="Calibri"/>
        </w:rPr>
        <w:t xml:space="preserve"> (FFCRA), signed into law on March 18, created two new temporary types of </w:t>
      </w:r>
      <w:r w:rsidR="00CE22C6">
        <w:rPr>
          <w:rFonts w:ascii="Calibri" w:eastAsia="Calibri" w:hAnsi="Calibri" w:cs="Calibri"/>
        </w:rPr>
        <w:t>emergency</w:t>
      </w:r>
      <w:r w:rsidR="004E451C">
        <w:rPr>
          <w:rFonts w:ascii="Calibri" w:eastAsia="Calibri" w:hAnsi="Calibri" w:cs="Calibri"/>
        </w:rPr>
        <w:t xml:space="preserve"> leave for workers impacted by COVID-19. </w:t>
      </w:r>
      <w:r w:rsidR="00CE22C6">
        <w:rPr>
          <w:rFonts w:ascii="Calibri" w:eastAsia="Calibri" w:hAnsi="Calibri" w:cs="Calibri"/>
        </w:rPr>
        <w:t xml:space="preserve"> This leave became effective on April 1, 2020.</w:t>
      </w:r>
      <w:r w:rsidR="00397D6B">
        <w:rPr>
          <w:rFonts w:ascii="Calibri" w:eastAsia="Calibri" w:hAnsi="Calibri" w:cs="Calibri"/>
        </w:rPr>
        <w:t xml:space="preserve">  The Department of Labor (DOL) is overseeing this program.</w:t>
      </w:r>
    </w:p>
    <w:p w:rsidR="0027135D" w:rsidRDefault="0027135D"/>
    <w:p w:rsidR="0027135D" w:rsidRDefault="00CE22C6">
      <w:r>
        <w:rPr>
          <w:rFonts w:ascii="Calibri" w:eastAsia="Calibri" w:hAnsi="Calibri" w:cs="Calibri"/>
          <w:i/>
          <w:iCs/>
          <w:u w:val="single"/>
        </w:rPr>
        <w:t>Which employers must offer this type of leave</w:t>
      </w:r>
      <w:r w:rsidR="004E451C">
        <w:rPr>
          <w:rFonts w:ascii="Calibri" w:eastAsia="Calibri" w:hAnsi="Calibri" w:cs="Calibri"/>
          <w:i/>
          <w:iCs/>
          <w:u w:val="single"/>
        </w:rPr>
        <w:t>?</w:t>
      </w:r>
    </w:p>
    <w:p w:rsidR="00564DEE" w:rsidRDefault="00564DEE" w:rsidP="00CE22C6">
      <w:pPr>
        <w:rPr>
          <w:rFonts w:ascii="Calibri" w:eastAsia="Calibri" w:hAnsi="Calibri" w:cs="Calibri"/>
        </w:rPr>
      </w:pPr>
    </w:p>
    <w:p w:rsidR="00F064FD" w:rsidRPr="00397D6B" w:rsidRDefault="00CE22C6" w:rsidP="00CE22C6">
      <w:pPr>
        <w:rPr>
          <w:rFonts w:ascii="Calibri" w:eastAsia="Calibri" w:hAnsi="Calibri" w:cs="Calibri"/>
        </w:rPr>
      </w:pPr>
      <w:r>
        <w:rPr>
          <w:rFonts w:ascii="Calibri" w:eastAsia="Calibri" w:hAnsi="Calibri" w:cs="Calibri"/>
        </w:rPr>
        <w:t xml:space="preserve">In </w:t>
      </w:r>
      <w:r w:rsidR="00F064FD">
        <w:rPr>
          <w:rFonts w:ascii="Calibri" w:eastAsia="Calibri" w:hAnsi="Calibri" w:cs="Calibri"/>
        </w:rPr>
        <w:t xml:space="preserve">general, employers </w:t>
      </w:r>
      <w:r w:rsidR="004E451C">
        <w:rPr>
          <w:rFonts w:ascii="Calibri" w:eastAsia="Calibri" w:hAnsi="Calibri" w:cs="Calibri"/>
        </w:rPr>
        <w:t>with fewer than 500 employees</w:t>
      </w:r>
      <w:r w:rsidR="00F064FD">
        <w:rPr>
          <w:rFonts w:ascii="Calibri" w:eastAsia="Calibri" w:hAnsi="Calibri" w:cs="Calibri"/>
        </w:rPr>
        <w:t xml:space="preserve"> </w:t>
      </w:r>
      <w:r w:rsidR="007320FE">
        <w:rPr>
          <w:rFonts w:ascii="Calibri" w:eastAsia="Calibri" w:hAnsi="Calibri" w:cs="Calibri"/>
        </w:rPr>
        <w:t xml:space="preserve">are </w:t>
      </w:r>
      <w:r w:rsidR="007320FE">
        <w:rPr>
          <w:rFonts w:ascii="Calibri" w:eastAsia="Calibri" w:hAnsi="Calibri" w:cs="Calibri"/>
          <w:u w:val="single"/>
        </w:rPr>
        <w:t>required</w:t>
      </w:r>
      <w:r w:rsidR="007320FE">
        <w:rPr>
          <w:rFonts w:ascii="Calibri" w:eastAsia="Calibri" w:hAnsi="Calibri" w:cs="Calibri"/>
        </w:rPr>
        <w:t xml:space="preserve"> to offer these two types of leave</w:t>
      </w:r>
      <w:r w:rsidR="004E451C">
        <w:rPr>
          <w:rFonts w:ascii="Calibri" w:eastAsia="Calibri" w:hAnsi="Calibri" w:cs="Calibri"/>
        </w:rPr>
        <w:t xml:space="preserve">. </w:t>
      </w:r>
      <w:r w:rsidR="00F064FD" w:rsidRPr="00397D6B">
        <w:rPr>
          <w:rFonts w:ascii="Calibri" w:eastAsia="Calibri" w:hAnsi="Calibri" w:cs="Calibri"/>
        </w:rPr>
        <w:t xml:space="preserve">However, </w:t>
      </w:r>
      <w:r w:rsidRPr="00397D6B">
        <w:rPr>
          <w:rFonts w:ascii="Calibri" w:eastAsia="Calibri" w:hAnsi="Calibri" w:cs="Calibri"/>
        </w:rPr>
        <w:t xml:space="preserve">two types of businesses can </w:t>
      </w:r>
      <w:r w:rsidRPr="00397D6B">
        <w:rPr>
          <w:rFonts w:ascii="Calibri" w:eastAsia="Calibri" w:hAnsi="Calibri" w:cs="Calibri"/>
          <w:u w:val="single"/>
        </w:rPr>
        <w:t>choose</w:t>
      </w:r>
      <w:r w:rsidRPr="00397D6B">
        <w:rPr>
          <w:rFonts w:ascii="Calibri" w:eastAsia="Calibri" w:hAnsi="Calibri" w:cs="Calibri"/>
        </w:rPr>
        <w:t xml:space="preserve"> to be exempted:</w:t>
      </w:r>
    </w:p>
    <w:p w:rsidR="0027135D" w:rsidRPr="00397D6B" w:rsidRDefault="00CE22C6" w:rsidP="00CE22C6">
      <w:pPr>
        <w:pStyle w:val="ListParagraph"/>
        <w:numPr>
          <w:ilvl w:val="0"/>
          <w:numId w:val="10"/>
        </w:numPr>
        <w:spacing w:line="240" w:lineRule="auto"/>
        <w:rPr>
          <w:sz w:val="24"/>
          <w:szCs w:val="24"/>
        </w:rPr>
      </w:pPr>
      <w:r w:rsidRPr="00397D6B">
        <w:rPr>
          <w:rFonts w:ascii="Calibri" w:eastAsia="Calibri" w:hAnsi="Calibri" w:cs="Calibri"/>
          <w:sz w:val="24"/>
          <w:szCs w:val="24"/>
        </w:rPr>
        <w:t>B</w:t>
      </w:r>
      <w:r w:rsidR="004E451C" w:rsidRPr="00397D6B">
        <w:rPr>
          <w:rFonts w:ascii="Calibri" w:eastAsia="Calibri" w:hAnsi="Calibri" w:cs="Calibri"/>
          <w:sz w:val="24"/>
          <w:szCs w:val="24"/>
        </w:rPr>
        <w:t xml:space="preserve">usinesses </w:t>
      </w:r>
      <w:r w:rsidR="00F064FD" w:rsidRPr="00397D6B">
        <w:rPr>
          <w:rFonts w:ascii="Calibri" w:eastAsia="Calibri" w:hAnsi="Calibri" w:cs="Calibri"/>
          <w:sz w:val="24"/>
          <w:szCs w:val="24"/>
        </w:rPr>
        <w:t xml:space="preserve">with less than </w:t>
      </w:r>
      <w:r w:rsidR="004E451C" w:rsidRPr="00397D6B">
        <w:rPr>
          <w:rFonts w:ascii="Calibri" w:eastAsia="Calibri" w:hAnsi="Calibri" w:cs="Calibri"/>
          <w:sz w:val="24"/>
          <w:szCs w:val="24"/>
        </w:rPr>
        <w:t>50 employees.</w:t>
      </w:r>
      <w:r w:rsidR="004E451C" w:rsidRPr="00397D6B">
        <w:rPr>
          <w:color w:val="000000"/>
          <w:sz w:val="24"/>
          <w:szCs w:val="24"/>
          <w:vertAlign w:val="superscript"/>
        </w:rPr>
        <w:footnoteReference w:id="4"/>
      </w:r>
      <w:r w:rsidR="004E451C" w:rsidRPr="00397D6B">
        <w:rPr>
          <w:rFonts w:ascii="Calibri" w:eastAsia="Calibri" w:hAnsi="Calibri" w:cs="Calibri"/>
          <w:sz w:val="24"/>
          <w:szCs w:val="24"/>
        </w:rPr>
        <w:t xml:space="preserve"> </w:t>
      </w:r>
    </w:p>
    <w:p w:rsidR="00CE22C6" w:rsidRPr="00397D6B" w:rsidRDefault="00CE22C6" w:rsidP="00564DEE">
      <w:pPr>
        <w:pStyle w:val="ListParagraph"/>
        <w:numPr>
          <w:ilvl w:val="0"/>
          <w:numId w:val="10"/>
        </w:numPr>
        <w:spacing w:after="0" w:line="240" w:lineRule="auto"/>
        <w:rPr>
          <w:sz w:val="24"/>
          <w:szCs w:val="24"/>
        </w:rPr>
      </w:pPr>
      <w:r w:rsidRPr="00397D6B">
        <w:rPr>
          <w:rFonts w:ascii="Calibri" w:eastAsia="Calibri" w:hAnsi="Calibri" w:cs="Calibri"/>
          <w:sz w:val="24"/>
          <w:szCs w:val="24"/>
        </w:rPr>
        <w:t>Health care employers</w:t>
      </w:r>
      <w:r w:rsidR="00397D6B">
        <w:rPr>
          <w:rFonts w:ascii="Calibri" w:eastAsia="Calibri" w:hAnsi="Calibri" w:cs="Calibri"/>
          <w:sz w:val="24"/>
          <w:szCs w:val="24"/>
        </w:rPr>
        <w:t>, such as health centers</w:t>
      </w:r>
      <w:r w:rsidRPr="00397D6B">
        <w:rPr>
          <w:rFonts w:ascii="Calibri" w:eastAsia="Calibri" w:hAnsi="Calibri" w:cs="Calibri"/>
          <w:sz w:val="24"/>
          <w:szCs w:val="24"/>
        </w:rPr>
        <w:t>.</w:t>
      </w:r>
    </w:p>
    <w:p w:rsidR="0027135D" w:rsidRPr="00CE22C6" w:rsidRDefault="00397D6B" w:rsidP="00564DEE">
      <w:pPr>
        <w:rPr>
          <w:rFonts w:asciiTheme="minorHAnsi" w:hAnsiTheme="minorHAnsi" w:cstheme="minorHAnsi"/>
        </w:rPr>
      </w:pPr>
      <w:r>
        <w:rPr>
          <w:rFonts w:asciiTheme="minorHAnsi" w:hAnsiTheme="minorHAnsi" w:cstheme="minorHAnsi"/>
        </w:rPr>
        <w:t xml:space="preserve">Note that, per a DOL policy announced on March 29, health care employers can choose to deny Emergency Leave to </w:t>
      </w:r>
      <w:r>
        <w:rPr>
          <w:rFonts w:asciiTheme="minorHAnsi" w:hAnsiTheme="minorHAnsi" w:cstheme="minorHAnsi"/>
          <w:u w:val="single"/>
        </w:rPr>
        <w:t>all</w:t>
      </w:r>
      <w:r>
        <w:rPr>
          <w:rFonts w:asciiTheme="minorHAnsi" w:hAnsiTheme="minorHAnsi" w:cstheme="minorHAnsi"/>
        </w:rPr>
        <w:t xml:space="preserve"> their employees, not just those who are health care providers.   </w:t>
      </w:r>
      <w:r w:rsidR="00CE22C6">
        <w:rPr>
          <w:rFonts w:asciiTheme="minorHAnsi" w:hAnsiTheme="minorHAnsi" w:cstheme="minorHAnsi"/>
        </w:rPr>
        <w:t xml:space="preserve"> </w:t>
      </w:r>
    </w:p>
    <w:p w:rsidR="00CE22C6" w:rsidRDefault="00CE22C6"/>
    <w:p w:rsidR="0027135D" w:rsidRDefault="004E451C">
      <w:r>
        <w:rPr>
          <w:rFonts w:ascii="Calibri" w:eastAsia="Calibri" w:hAnsi="Calibri" w:cs="Calibri"/>
          <w:i/>
          <w:iCs/>
          <w:u w:val="single"/>
        </w:rPr>
        <w:t>What are the terms?</w:t>
      </w:r>
    </w:p>
    <w:p w:rsidR="0027135D" w:rsidRDefault="0027135D"/>
    <w:p w:rsidR="0027135D" w:rsidRDefault="004E451C">
      <w:pPr>
        <w:numPr>
          <w:ilvl w:val="0"/>
          <w:numId w:val="5"/>
        </w:numPr>
        <w:pBdr>
          <w:left w:val="none" w:sz="0" w:space="10" w:color="auto"/>
        </w:pBdr>
        <w:ind w:hanging="506"/>
      </w:pPr>
      <w:r>
        <w:rPr>
          <w:rFonts w:ascii="Calibri" w:eastAsia="Calibri" w:hAnsi="Calibri" w:cs="Calibri"/>
          <w:b/>
          <w:bCs/>
        </w:rPr>
        <w:t>Emergency Paid Sick Leave:</w:t>
      </w:r>
      <w:r>
        <w:rPr>
          <w:rFonts w:ascii="Calibri" w:eastAsia="Calibri" w:hAnsi="Calibri" w:cs="Calibri"/>
        </w:rPr>
        <w:t xml:space="preserve"> Two weeks (up to 80 hours) of paid sick leave at the employee’s regular rate of pay (up to $511/day) where the employee is unable to work because they are quarantined by a doctor or government authorities and/or experiencing COVID-19 symptoms and seeking a medical diagnosis. For employees who need to care for someone else, employers must offer two weeks of paid sick leave at two-thirds the employee’s regular rate of pay (up to $200/day). Employers are not required to pay more than the capped amounts. </w:t>
      </w:r>
    </w:p>
    <w:p w:rsidR="0027135D" w:rsidRDefault="0027135D">
      <w:pPr>
        <w:ind w:left="720"/>
      </w:pPr>
    </w:p>
    <w:p w:rsidR="0027135D" w:rsidRDefault="004E451C">
      <w:pPr>
        <w:numPr>
          <w:ilvl w:val="0"/>
          <w:numId w:val="6"/>
        </w:numPr>
        <w:pBdr>
          <w:left w:val="none" w:sz="0" w:space="10" w:color="auto"/>
        </w:pBdr>
        <w:ind w:hanging="506"/>
      </w:pPr>
      <w:r>
        <w:rPr>
          <w:rFonts w:ascii="Calibri" w:eastAsia="Calibri" w:hAnsi="Calibri" w:cs="Calibri"/>
          <w:b/>
          <w:bCs/>
        </w:rPr>
        <w:t>Emergency Family Leave:</w:t>
      </w:r>
      <w:r>
        <w:rPr>
          <w:rFonts w:ascii="Calibri" w:eastAsia="Calibri" w:hAnsi="Calibri" w:cs="Calibri"/>
        </w:rPr>
        <w:t xml:space="preserve"> Up to an additional 10 weeks of paid expanded family leave, with employers not required to pay more than $200 per day and $10,000 in total. </w:t>
      </w:r>
      <w:r w:rsidR="00720936">
        <w:rPr>
          <w:rFonts w:ascii="Calibri" w:eastAsia="Calibri" w:hAnsi="Calibri" w:cs="Calibri"/>
        </w:rPr>
        <w:t xml:space="preserve"> The only employees who are eligible are those who are unable to telework </w:t>
      </w:r>
      <w:r w:rsidR="00720936" w:rsidRPr="00720936">
        <w:rPr>
          <w:rFonts w:ascii="Calibri" w:eastAsia="Calibri" w:hAnsi="Calibri" w:cs="Calibri"/>
          <w:b/>
          <w:bCs/>
          <w:i/>
          <w:iCs/>
        </w:rPr>
        <w:t>and</w:t>
      </w:r>
      <w:r w:rsidR="00720936">
        <w:rPr>
          <w:rFonts w:ascii="Calibri" w:eastAsia="Calibri" w:hAnsi="Calibri" w:cs="Calibri"/>
        </w:rPr>
        <w:t xml:space="preserve"> who have a child under age 18 </w:t>
      </w:r>
      <w:r>
        <w:rPr>
          <w:rFonts w:ascii="Calibri" w:eastAsia="Calibri" w:hAnsi="Calibri" w:cs="Calibri"/>
        </w:rPr>
        <w:t xml:space="preserve">whose school or childcare provider is closed or unavailable due to COVID-19. </w:t>
      </w:r>
    </w:p>
    <w:p w:rsidR="0027135D" w:rsidRDefault="0027135D"/>
    <w:p w:rsidR="0027135D" w:rsidRDefault="00427A8D">
      <w:r>
        <w:rPr>
          <w:rFonts w:ascii="Calibri" w:eastAsia="Calibri" w:hAnsi="Calibri" w:cs="Calibri"/>
          <w:i/>
          <w:iCs/>
          <w:u w:val="single"/>
        </w:rPr>
        <w:t>Who pays for Emergency Paid Sick Leave and Emergency Family Leave?</w:t>
      </w:r>
    </w:p>
    <w:p w:rsidR="0027135D" w:rsidRDefault="0027135D"/>
    <w:p w:rsidR="0027135D" w:rsidRDefault="00427A8D">
      <w:r>
        <w:rPr>
          <w:rFonts w:ascii="Calibri" w:eastAsia="Calibri" w:hAnsi="Calibri" w:cs="Calibri"/>
        </w:rPr>
        <w:t>Employers must pay for their employees for this leave.  However, the</w:t>
      </w:r>
      <w:r w:rsidR="00FC2D29">
        <w:rPr>
          <w:rFonts w:ascii="Calibri" w:eastAsia="Calibri" w:hAnsi="Calibri" w:cs="Calibri"/>
        </w:rPr>
        <w:t xml:space="preserve"> Federal government will reimburse them for </w:t>
      </w:r>
      <w:r>
        <w:rPr>
          <w:rFonts w:ascii="Calibri" w:eastAsia="Calibri" w:hAnsi="Calibri" w:cs="Calibri"/>
        </w:rPr>
        <w:t xml:space="preserve">the full costs of the required leave, </w:t>
      </w:r>
      <w:r w:rsidR="00FC2D29">
        <w:rPr>
          <w:rFonts w:ascii="Calibri" w:eastAsia="Calibri" w:hAnsi="Calibri" w:cs="Calibri"/>
        </w:rPr>
        <w:t xml:space="preserve">through refundable credits on the </w:t>
      </w:r>
      <w:r w:rsidR="004E451C">
        <w:rPr>
          <w:rFonts w:ascii="Calibri" w:eastAsia="Calibri" w:hAnsi="Calibri" w:cs="Calibri"/>
        </w:rPr>
        <w:t xml:space="preserve">employer share of Social Security payroll taxes. Employers deduct the amount </w:t>
      </w:r>
      <w:r w:rsidR="00A61574">
        <w:rPr>
          <w:rFonts w:ascii="Calibri" w:eastAsia="Calibri" w:hAnsi="Calibri" w:cs="Calibri"/>
        </w:rPr>
        <w:t xml:space="preserve">they paid for </w:t>
      </w:r>
      <w:r w:rsidR="00FC2D29">
        <w:rPr>
          <w:rFonts w:ascii="Calibri" w:eastAsia="Calibri" w:hAnsi="Calibri" w:cs="Calibri"/>
        </w:rPr>
        <w:t xml:space="preserve">this leave </w:t>
      </w:r>
      <w:r w:rsidR="004E451C">
        <w:rPr>
          <w:rFonts w:ascii="Calibri" w:eastAsia="Calibri" w:hAnsi="Calibri" w:cs="Calibri"/>
        </w:rPr>
        <w:t xml:space="preserve">from their payroll tax contributions on an employee’s pay and submit documentation. </w:t>
      </w:r>
      <w:r w:rsidR="000B225A">
        <w:rPr>
          <w:rFonts w:ascii="Calibri" w:eastAsia="Calibri" w:hAnsi="Calibri" w:cs="Calibri"/>
        </w:rPr>
        <w:t xml:space="preserve"> </w:t>
      </w:r>
      <w:r w:rsidR="004E451C">
        <w:rPr>
          <w:rFonts w:ascii="Calibri" w:eastAsia="Calibri" w:hAnsi="Calibri" w:cs="Calibri"/>
        </w:rPr>
        <w:t xml:space="preserve">The credits </w:t>
      </w:r>
      <w:r w:rsidR="00A61574">
        <w:rPr>
          <w:rFonts w:ascii="Calibri" w:eastAsia="Calibri" w:hAnsi="Calibri" w:cs="Calibri"/>
        </w:rPr>
        <w:t xml:space="preserve">will cover the </w:t>
      </w:r>
      <w:r w:rsidR="004E451C">
        <w:rPr>
          <w:rFonts w:ascii="Calibri" w:eastAsia="Calibri" w:hAnsi="Calibri" w:cs="Calibri"/>
        </w:rPr>
        <w:t>capped salary amount</w:t>
      </w:r>
      <w:r w:rsidR="00A61574">
        <w:rPr>
          <w:rFonts w:ascii="Calibri" w:eastAsia="Calibri" w:hAnsi="Calibri" w:cs="Calibri"/>
        </w:rPr>
        <w:t>s described abo</w:t>
      </w:r>
      <w:r w:rsidR="000B225A">
        <w:rPr>
          <w:rFonts w:ascii="Calibri" w:eastAsia="Calibri" w:hAnsi="Calibri" w:cs="Calibri"/>
        </w:rPr>
        <w:t xml:space="preserve">ve, </w:t>
      </w:r>
      <w:r w:rsidR="000B225A" w:rsidRPr="00B35241">
        <w:rPr>
          <w:rFonts w:ascii="Calibri" w:eastAsia="Calibri" w:hAnsi="Calibri" w:cs="Calibri"/>
        </w:rPr>
        <w:t xml:space="preserve">as well as the </w:t>
      </w:r>
      <w:r w:rsidR="004E451C" w:rsidRPr="00B35241">
        <w:rPr>
          <w:rFonts w:ascii="Calibri" w:eastAsia="Calibri" w:hAnsi="Calibri" w:cs="Calibri"/>
        </w:rPr>
        <w:t>employer’s health insurance premiums.</w:t>
      </w:r>
      <w:r w:rsidR="004E451C">
        <w:rPr>
          <w:rFonts w:ascii="Calibri" w:eastAsia="Calibri" w:hAnsi="Calibri" w:cs="Calibri"/>
        </w:rPr>
        <w:t xml:space="preserve"> </w:t>
      </w:r>
    </w:p>
    <w:p w:rsidR="0027135D" w:rsidRDefault="0027135D"/>
    <w:p w:rsidR="0027135D" w:rsidRDefault="004E451C">
      <w:r>
        <w:rPr>
          <w:rFonts w:ascii="Calibri" w:eastAsia="Calibri" w:hAnsi="Calibri" w:cs="Calibri"/>
          <w:i/>
          <w:iCs/>
          <w:u w:val="single"/>
        </w:rPr>
        <w:t>Where can I learn more?</w:t>
      </w:r>
    </w:p>
    <w:p w:rsidR="0027135D" w:rsidRDefault="0027135D"/>
    <w:p w:rsidR="0027135D" w:rsidRDefault="004E451C">
      <w:r>
        <w:rPr>
          <w:rFonts w:ascii="Calibri" w:eastAsia="Calibri" w:hAnsi="Calibri" w:cs="Calibri"/>
        </w:rPr>
        <w:t xml:space="preserve">NACHC has developed a health center-specific guidance document, for the leave programs and other human resources considerations, accessible </w:t>
      </w:r>
      <w:hyperlink r:id="rId26" w:history="1">
        <w:r>
          <w:rPr>
            <w:rFonts w:ascii="Calibri" w:eastAsia="Calibri" w:hAnsi="Calibri" w:cs="Calibri"/>
            <w:color w:val="0563C1"/>
            <w:u w:val="single" w:color="0563C1"/>
          </w:rPr>
          <w:t>here</w:t>
        </w:r>
      </w:hyperlink>
      <w:r>
        <w:rPr>
          <w:rFonts w:ascii="Calibri" w:eastAsia="Calibri" w:hAnsi="Calibri" w:cs="Calibri"/>
        </w:rPr>
        <w:t xml:space="preserve">. General information on FFCRA leave from the Department of Labor is found </w:t>
      </w:r>
      <w:hyperlink r:id="rId27" w:history="1">
        <w:r>
          <w:rPr>
            <w:rFonts w:ascii="Calibri" w:eastAsia="Calibri" w:hAnsi="Calibri" w:cs="Calibri"/>
            <w:color w:val="0563C1"/>
            <w:u w:val="single" w:color="0563C1"/>
          </w:rPr>
          <w:t>here</w:t>
        </w:r>
      </w:hyperlink>
      <w:r>
        <w:rPr>
          <w:rFonts w:ascii="Calibri" w:eastAsia="Calibri" w:hAnsi="Calibri" w:cs="Calibri"/>
        </w:rPr>
        <w:t xml:space="preserve">, and questions and answers from the Department of Labor on how the FFCRA leave provisions work can be found </w:t>
      </w:r>
      <w:hyperlink r:id="rId28" w:history="1">
        <w:r>
          <w:rPr>
            <w:rFonts w:ascii="Calibri" w:eastAsia="Calibri" w:hAnsi="Calibri" w:cs="Calibri"/>
            <w:color w:val="0563C1"/>
            <w:u w:val="single" w:color="0563C1"/>
          </w:rPr>
          <w:t>here</w:t>
        </w:r>
      </w:hyperlink>
      <w:r>
        <w:rPr>
          <w:rFonts w:ascii="Calibri" w:eastAsia="Calibri" w:hAnsi="Calibri" w:cs="Calibri"/>
        </w:rPr>
        <w:t xml:space="preserve">. </w:t>
      </w:r>
    </w:p>
    <w:p w:rsidR="0027135D" w:rsidRDefault="004E451C">
      <w:r>
        <w:br w:type="page"/>
      </w:r>
    </w:p>
    <w:p w:rsidR="0027135D" w:rsidRDefault="0027135D"/>
    <w:tbl>
      <w:tblPr>
        <w:tblW w:w="9630" w:type="dxa"/>
        <w:tblInd w:w="231" w:type="dxa"/>
        <w:tblCellMar>
          <w:left w:w="0" w:type="dxa"/>
          <w:right w:w="0" w:type="dxa"/>
        </w:tblCellMar>
        <w:tblLook w:val="04A0" w:firstRow="1" w:lastRow="0" w:firstColumn="1" w:lastColumn="0" w:noHBand="0" w:noVBand="1"/>
      </w:tblPr>
      <w:tblGrid>
        <w:gridCol w:w="400"/>
        <w:gridCol w:w="1820"/>
        <w:gridCol w:w="2180"/>
        <w:gridCol w:w="2380"/>
        <w:gridCol w:w="2850"/>
      </w:tblGrid>
      <w:tr w:rsidR="0027135D">
        <w:trPr>
          <w:trHeight w:val="420"/>
        </w:trPr>
        <w:tc>
          <w:tcPr>
            <w:tcW w:w="9630" w:type="dxa"/>
            <w:gridSpan w:val="5"/>
            <w:tcMar>
              <w:top w:w="10" w:type="dxa"/>
              <w:left w:w="118" w:type="dxa"/>
              <w:bottom w:w="10" w:type="dxa"/>
              <w:right w:w="118" w:type="dxa"/>
            </w:tcMar>
            <w:vAlign w:val="center"/>
            <w:hideMark/>
          </w:tcPr>
          <w:p w:rsidR="0027135D" w:rsidRDefault="004E451C">
            <w:pPr>
              <w:jc w:val="center"/>
              <w:rPr>
                <w:color w:val="000000"/>
                <w:sz w:val="32"/>
                <w:szCs w:val="32"/>
              </w:rPr>
            </w:pPr>
            <w:r>
              <w:rPr>
                <w:rFonts w:ascii="Calibri" w:eastAsia="Calibri" w:hAnsi="Calibri" w:cs="Calibri"/>
                <w:b/>
                <w:bCs/>
                <w:i/>
                <w:iCs/>
                <w:color w:val="000000"/>
                <w:sz w:val="32"/>
                <w:szCs w:val="32"/>
              </w:rPr>
              <w:t>Mandatory Paid Leave Under Families First Coronavirus Response Act</w:t>
            </w:r>
          </w:p>
          <w:p w:rsidR="0027135D" w:rsidRDefault="004E451C">
            <w:pPr>
              <w:jc w:val="center"/>
              <w:rPr>
                <w:color w:val="000000"/>
                <w:sz w:val="28"/>
                <w:szCs w:val="28"/>
              </w:rPr>
            </w:pPr>
            <w:r>
              <w:rPr>
                <w:rFonts w:ascii="Calibri" w:eastAsia="Calibri" w:hAnsi="Calibri" w:cs="Calibri"/>
                <w:i/>
                <w:iCs/>
                <w:color w:val="000000"/>
                <w:sz w:val="28"/>
                <w:szCs w:val="28"/>
              </w:rPr>
              <w:t>Current as of 3/25/2020</w:t>
            </w:r>
          </w:p>
        </w:tc>
      </w:tr>
      <w:tr w:rsidR="0027135D">
        <w:trPr>
          <w:trHeight w:val="300"/>
        </w:trPr>
        <w:tc>
          <w:tcPr>
            <w:tcW w:w="400" w:type="dxa"/>
            <w:tcMar>
              <w:top w:w="10" w:type="dxa"/>
              <w:left w:w="118" w:type="dxa"/>
              <w:bottom w:w="10" w:type="dxa"/>
              <w:right w:w="118" w:type="dxa"/>
            </w:tcMar>
            <w:vAlign w:val="center"/>
          </w:tcPr>
          <w:p w:rsidR="0027135D" w:rsidRDefault="0027135D">
            <w:pPr>
              <w:jc w:val="center"/>
              <w:rPr>
                <w:color w:val="000000"/>
                <w:sz w:val="32"/>
                <w:szCs w:val="32"/>
              </w:rPr>
            </w:pPr>
          </w:p>
        </w:tc>
        <w:tc>
          <w:tcPr>
            <w:tcW w:w="1820" w:type="dxa"/>
            <w:tcMar>
              <w:top w:w="10" w:type="dxa"/>
              <w:left w:w="118" w:type="dxa"/>
              <w:bottom w:w="10" w:type="dxa"/>
              <w:right w:w="118" w:type="dxa"/>
            </w:tcMar>
            <w:vAlign w:val="center"/>
          </w:tcPr>
          <w:p w:rsidR="0027135D" w:rsidRDefault="0027135D">
            <w:pPr>
              <w:rPr>
                <w:color w:val="000000"/>
                <w:sz w:val="20"/>
                <w:szCs w:val="20"/>
              </w:rPr>
            </w:pPr>
          </w:p>
        </w:tc>
        <w:tc>
          <w:tcPr>
            <w:tcW w:w="2180" w:type="dxa"/>
            <w:tcMar>
              <w:top w:w="10" w:type="dxa"/>
              <w:left w:w="118" w:type="dxa"/>
              <w:bottom w:w="10" w:type="dxa"/>
              <w:right w:w="118" w:type="dxa"/>
            </w:tcMar>
            <w:vAlign w:val="center"/>
          </w:tcPr>
          <w:p w:rsidR="0027135D" w:rsidRDefault="0027135D">
            <w:pPr>
              <w:rPr>
                <w:color w:val="000000"/>
                <w:sz w:val="20"/>
                <w:szCs w:val="20"/>
              </w:rPr>
            </w:pPr>
          </w:p>
        </w:tc>
        <w:tc>
          <w:tcPr>
            <w:tcW w:w="2380" w:type="dxa"/>
            <w:tcMar>
              <w:top w:w="10" w:type="dxa"/>
              <w:left w:w="118" w:type="dxa"/>
              <w:bottom w:w="10" w:type="dxa"/>
              <w:right w:w="118" w:type="dxa"/>
            </w:tcMar>
            <w:vAlign w:val="center"/>
          </w:tcPr>
          <w:p w:rsidR="0027135D" w:rsidRDefault="0027135D">
            <w:pPr>
              <w:jc w:val="center"/>
              <w:rPr>
                <w:color w:val="000000"/>
                <w:sz w:val="20"/>
                <w:szCs w:val="20"/>
              </w:rPr>
            </w:pPr>
          </w:p>
        </w:tc>
        <w:tc>
          <w:tcPr>
            <w:tcW w:w="2850" w:type="dxa"/>
            <w:tcMar>
              <w:top w:w="10" w:type="dxa"/>
              <w:left w:w="118" w:type="dxa"/>
              <w:bottom w:w="10" w:type="dxa"/>
              <w:right w:w="118" w:type="dxa"/>
            </w:tcMar>
            <w:vAlign w:val="center"/>
          </w:tcPr>
          <w:p w:rsidR="0027135D" w:rsidRDefault="0027135D">
            <w:pPr>
              <w:jc w:val="center"/>
              <w:rPr>
                <w:color w:val="000000"/>
                <w:sz w:val="20"/>
                <w:szCs w:val="20"/>
              </w:rPr>
            </w:pPr>
          </w:p>
        </w:tc>
      </w:tr>
      <w:tr w:rsidR="0027135D">
        <w:trPr>
          <w:trHeight w:val="744"/>
        </w:trPr>
        <w:tc>
          <w:tcPr>
            <w:tcW w:w="2176" w:type="dxa"/>
            <w:gridSpan w:val="2"/>
            <w:tcBorders>
              <w:bottom w:val="double" w:sz="6" w:space="0" w:color="000000"/>
              <w:right w:val="double" w:sz="6" w:space="0" w:color="000000"/>
            </w:tcBorders>
            <w:tcMar>
              <w:top w:w="10" w:type="dxa"/>
              <w:left w:w="118" w:type="dxa"/>
              <w:bottom w:w="22"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w:t>
            </w:r>
          </w:p>
        </w:tc>
        <w:tc>
          <w:tcPr>
            <w:tcW w:w="4560" w:type="dxa"/>
            <w:gridSpan w:val="2"/>
            <w:tcBorders>
              <w:top w:val="double" w:sz="6" w:space="0" w:color="000000"/>
              <w:bottom w:val="single" w:sz="6" w:space="0" w:color="000000"/>
              <w:right w:val="single" w:sz="6" w:space="0" w:color="000000"/>
            </w:tcBorders>
            <w:tcMar>
              <w:top w:w="22" w:type="dxa"/>
              <w:left w:w="118" w:type="dxa"/>
              <w:bottom w:w="8" w:type="dxa"/>
              <w:right w:w="108" w:type="dxa"/>
            </w:tcMar>
            <w:vAlign w:val="center"/>
            <w:hideMark/>
          </w:tcPr>
          <w:p w:rsidR="0027135D" w:rsidRDefault="004E451C">
            <w:pPr>
              <w:jc w:val="center"/>
              <w:rPr>
                <w:color w:val="000000"/>
                <w:sz w:val="28"/>
                <w:szCs w:val="28"/>
              </w:rPr>
            </w:pPr>
            <w:r>
              <w:rPr>
                <w:rFonts w:ascii="Calibri" w:eastAsia="Calibri" w:hAnsi="Calibri" w:cs="Calibri"/>
                <w:b/>
                <w:bCs/>
                <w:color w:val="000000"/>
                <w:sz w:val="28"/>
                <w:szCs w:val="28"/>
              </w:rPr>
              <w:t xml:space="preserve">Emergency Paid Sick Leave </w:t>
            </w:r>
          </w:p>
        </w:tc>
        <w:tc>
          <w:tcPr>
            <w:tcW w:w="2806" w:type="dxa"/>
            <w:tcBorders>
              <w:top w:val="double" w:sz="6" w:space="0" w:color="000000"/>
              <w:left w:val="single" w:sz="8" w:space="0" w:color="000000"/>
              <w:bottom w:val="double" w:sz="6" w:space="0" w:color="000000"/>
              <w:right w:val="double" w:sz="6" w:space="0" w:color="000000"/>
            </w:tcBorders>
            <w:tcMar>
              <w:top w:w="22" w:type="dxa"/>
              <w:left w:w="108" w:type="dxa"/>
              <w:bottom w:w="22" w:type="dxa"/>
              <w:right w:w="108" w:type="dxa"/>
            </w:tcMar>
            <w:vAlign w:val="center"/>
            <w:hideMark/>
          </w:tcPr>
          <w:p w:rsidR="0027135D" w:rsidRDefault="004E451C">
            <w:pPr>
              <w:jc w:val="center"/>
              <w:rPr>
                <w:color w:val="000000"/>
                <w:sz w:val="28"/>
                <w:szCs w:val="28"/>
              </w:rPr>
            </w:pPr>
            <w:r>
              <w:rPr>
                <w:rFonts w:ascii="Calibri" w:eastAsia="Calibri" w:hAnsi="Calibri" w:cs="Calibri"/>
                <w:b/>
                <w:bCs/>
                <w:color w:val="000000"/>
                <w:sz w:val="28"/>
                <w:szCs w:val="28"/>
              </w:rPr>
              <w:t xml:space="preserve">Emergency Family Medical Leave </w:t>
            </w:r>
          </w:p>
        </w:tc>
      </w:tr>
      <w:tr w:rsidR="0027135D">
        <w:trPr>
          <w:trHeight w:val="540"/>
        </w:trPr>
        <w:tc>
          <w:tcPr>
            <w:tcW w:w="2176" w:type="dxa"/>
            <w:gridSpan w:val="2"/>
            <w:tcBorders>
              <w:top w:val="double" w:sz="6" w:space="0" w:color="000000"/>
              <w:left w:val="double" w:sz="6" w:space="0" w:color="000000"/>
              <w:bottom w:val="single" w:sz="6" w:space="0" w:color="000000"/>
              <w:right w:val="single" w:sz="6" w:space="0" w:color="000000"/>
            </w:tcBorders>
            <w:tcMar>
              <w:top w:w="22"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Which EMPLOYERS must offer this leave</w:t>
            </w:r>
          </w:p>
        </w:tc>
        <w:tc>
          <w:tcPr>
            <w:tcW w:w="7366" w:type="dxa"/>
            <w:gridSpan w:val="3"/>
            <w:tcBorders>
              <w:top w:val="double" w:sz="6" w:space="0" w:color="000000"/>
              <w:bottom w:val="single" w:sz="6" w:space="0" w:color="000000"/>
              <w:right w:val="double" w:sz="6" w:space="0" w:color="000000"/>
            </w:tcBorders>
            <w:tcMar>
              <w:top w:w="22" w:type="dxa"/>
              <w:left w:w="11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xml:space="preserve">All employers with fewer than 500 employees </w:t>
            </w:r>
          </w:p>
        </w:tc>
      </w:tr>
      <w:tr w:rsidR="0027135D">
        <w:trPr>
          <w:trHeight w:val="1728"/>
        </w:trPr>
        <w:tc>
          <w:tcPr>
            <w:tcW w:w="2176" w:type="dxa"/>
            <w:gridSpan w:val="2"/>
            <w:tcBorders>
              <w:top w:val="single" w:sz="6" w:space="0" w:color="000000"/>
              <w:left w:val="double" w:sz="6" w:space="0" w:color="000000"/>
              <w:bottom w:val="single" w:sz="6" w:space="0" w:color="000000"/>
              <w:right w:val="single" w:sz="6" w:space="0" w:color="000000"/>
            </w:tcBorders>
            <w:tcMar>
              <w:top w:w="8"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Which EMPLOYEES are eligible:</w:t>
            </w:r>
          </w:p>
        </w:tc>
        <w:tc>
          <w:tcPr>
            <w:tcW w:w="218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xml:space="preserve">Employees who are </w:t>
            </w:r>
            <w:r>
              <w:rPr>
                <w:rFonts w:ascii="Calibri" w:eastAsia="Calibri" w:hAnsi="Calibri" w:cs="Calibri"/>
                <w:b/>
                <w:bCs/>
                <w:i/>
                <w:iCs/>
                <w:color w:val="000000"/>
                <w:sz w:val="22"/>
                <w:szCs w:val="22"/>
              </w:rPr>
              <w:t>sick or under quarantine themselves</w:t>
            </w:r>
          </w:p>
        </w:tc>
        <w:tc>
          <w:tcPr>
            <w:tcW w:w="2380" w:type="dxa"/>
            <w:tcBorders>
              <w:bottom w:val="single" w:sz="6" w:space="0" w:color="000000"/>
            </w:tcBorders>
            <w:tcMar>
              <w:top w:w="10" w:type="dxa"/>
              <w:left w:w="118" w:type="dxa"/>
              <w:bottom w:w="8" w:type="dxa"/>
              <w:right w:w="11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xml:space="preserve">Employees who are </w:t>
            </w:r>
            <w:r>
              <w:rPr>
                <w:rFonts w:ascii="Calibri" w:eastAsia="Calibri" w:hAnsi="Calibri" w:cs="Calibri"/>
                <w:b/>
                <w:bCs/>
                <w:i/>
                <w:iCs/>
                <w:color w:val="000000"/>
                <w:sz w:val="22"/>
                <w:szCs w:val="22"/>
              </w:rPr>
              <w:t xml:space="preserve">caring for a family member or child </w:t>
            </w:r>
            <w:r>
              <w:rPr>
                <w:rFonts w:ascii="Calibri" w:eastAsia="Calibri" w:hAnsi="Calibri" w:cs="Calibri"/>
                <w:color w:val="000000"/>
                <w:sz w:val="22"/>
                <w:szCs w:val="22"/>
              </w:rPr>
              <w:t>who is sick, quarantined, or whose school/ childcare is closed</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xml:space="preserve">Employees who have a </w:t>
            </w:r>
            <w:r>
              <w:rPr>
                <w:rFonts w:ascii="Calibri" w:eastAsia="Calibri" w:hAnsi="Calibri" w:cs="Calibri"/>
                <w:b/>
                <w:bCs/>
                <w:i/>
                <w:iCs/>
                <w:color w:val="000000"/>
                <w:sz w:val="22"/>
                <w:szCs w:val="22"/>
              </w:rPr>
              <w:t xml:space="preserve">child under 18 </w:t>
            </w:r>
            <w:r>
              <w:rPr>
                <w:rFonts w:ascii="Calibri" w:eastAsia="Calibri" w:hAnsi="Calibri" w:cs="Calibri"/>
                <w:color w:val="000000"/>
                <w:sz w:val="22"/>
                <w:szCs w:val="22"/>
              </w:rPr>
              <w:t xml:space="preserve">whose school or childcare is closed </w:t>
            </w:r>
            <w:r>
              <w:rPr>
                <w:rFonts w:ascii="Calibri" w:eastAsia="Calibri" w:hAnsi="Calibri" w:cs="Calibri"/>
                <w:color w:val="000000"/>
                <w:sz w:val="22"/>
                <w:szCs w:val="22"/>
                <w:u w:val="single" w:color="000000"/>
              </w:rPr>
              <w:t>AND</w:t>
            </w:r>
            <w:r>
              <w:rPr>
                <w:rFonts w:ascii="Calibri" w:eastAsia="Calibri" w:hAnsi="Calibri" w:cs="Calibri"/>
                <w:color w:val="000000"/>
                <w:sz w:val="22"/>
                <w:szCs w:val="22"/>
              </w:rPr>
              <w:t xml:space="preserve"> who are unable to telework.</w:t>
            </w:r>
          </w:p>
        </w:tc>
      </w:tr>
      <w:tr w:rsidR="0027135D">
        <w:trPr>
          <w:trHeight w:val="780"/>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rPr>
                <w:color w:val="000000"/>
                <w:sz w:val="22"/>
                <w:szCs w:val="22"/>
              </w:rPr>
            </w:pPr>
            <w:r>
              <w:rPr>
                <w:rFonts w:ascii="Calibri" w:eastAsia="Calibri" w:hAnsi="Calibri" w:cs="Calibri"/>
                <w:color w:val="000000"/>
                <w:sz w:val="22"/>
                <w:szCs w:val="22"/>
              </w:rPr>
              <w:t>Minimum tenure to be eligible</w:t>
            </w:r>
          </w:p>
        </w:tc>
        <w:tc>
          <w:tcPr>
            <w:tcW w:w="218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No minimum</w:t>
            </w:r>
          </w:p>
        </w:tc>
        <w:tc>
          <w:tcPr>
            <w:tcW w:w="2380" w:type="dxa"/>
            <w:tcBorders>
              <w:bottom w:val="single" w:sz="6" w:space="0" w:color="000000"/>
            </w:tcBorders>
            <w:tcMar>
              <w:top w:w="10" w:type="dxa"/>
              <w:left w:w="118" w:type="dxa"/>
              <w:bottom w:w="8" w:type="dxa"/>
              <w:right w:w="11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No minimum</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30 days</w:t>
            </w:r>
          </w:p>
        </w:tc>
      </w:tr>
      <w:tr w:rsidR="0027135D">
        <w:trPr>
          <w:trHeight w:val="684"/>
        </w:trPr>
        <w:tc>
          <w:tcPr>
            <w:tcW w:w="9540" w:type="dxa"/>
            <w:gridSpan w:val="5"/>
            <w:tcBorders>
              <w:top w:val="single" w:sz="6" w:space="0" w:color="000000"/>
              <w:left w:val="double" w:sz="6" w:space="0" w:color="000000"/>
              <w:bottom w:val="single" w:sz="6" w:space="0" w:color="000000"/>
              <w:right w:val="double" w:sz="6" w:space="0" w:color="000000"/>
            </w:tcBorders>
            <w:tcMar>
              <w:top w:w="8"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MAXIMUM days and dollar amounts (that employers must provide and the Federal government will reimburse)</w:t>
            </w:r>
          </w:p>
        </w:tc>
      </w:tr>
      <w:tr w:rsidR="0027135D">
        <w:trPr>
          <w:trHeight w:val="828"/>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rPr>
                <w:color w:val="000000"/>
                <w:sz w:val="22"/>
                <w:szCs w:val="22"/>
              </w:rPr>
            </w:pPr>
            <w:r>
              <w:rPr>
                <w:rFonts w:ascii="Calibri" w:eastAsia="Calibri" w:hAnsi="Calibri" w:cs="Calibri"/>
                <w:color w:val="000000"/>
                <w:sz w:val="22"/>
                <w:szCs w:val="22"/>
              </w:rPr>
              <w:t>Maximum number of days</w:t>
            </w:r>
          </w:p>
        </w:tc>
        <w:tc>
          <w:tcPr>
            <w:tcW w:w="218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10 days (for a full-time FTE)</w:t>
            </w:r>
          </w:p>
        </w:tc>
        <w:tc>
          <w:tcPr>
            <w:tcW w:w="2380" w:type="dxa"/>
            <w:tcBorders>
              <w:bottom w:val="single" w:sz="6" w:space="0" w:color="000000"/>
            </w:tcBorders>
            <w:tcMar>
              <w:top w:w="10" w:type="dxa"/>
              <w:left w:w="118" w:type="dxa"/>
              <w:bottom w:w="8" w:type="dxa"/>
              <w:right w:w="11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10 days (for a full-time FTE)</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12 weeks</w:t>
            </w:r>
          </w:p>
        </w:tc>
      </w:tr>
      <w:tr w:rsidR="0027135D">
        <w:trPr>
          <w:trHeight w:val="2184"/>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rPr>
                <w:color w:val="000000"/>
                <w:sz w:val="22"/>
                <w:szCs w:val="22"/>
              </w:rPr>
            </w:pPr>
            <w:r>
              <w:rPr>
                <w:rFonts w:ascii="Calibri" w:eastAsia="Calibri" w:hAnsi="Calibri" w:cs="Calibri"/>
                <w:color w:val="000000"/>
                <w:sz w:val="22"/>
                <w:szCs w:val="22"/>
              </w:rPr>
              <w:t>Maximum amount per day</w:t>
            </w:r>
          </w:p>
        </w:tc>
        <w:tc>
          <w:tcPr>
            <w:tcW w:w="218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The lesser of $511 or the employee's regular daily rate</w:t>
            </w:r>
          </w:p>
        </w:tc>
        <w:tc>
          <w:tcPr>
            <w:tcW w:w="2380" w:type="dxa"/>
            <w:tcBorders>
              <w:bottom w:val="single" w:sz="6" w:space="0" w:color="000000"/>
            </w:tcBorders>
            <w:tcMar>
              <w:top w:w="10" w:type="dxa"/>
              <w:left w:w="118" w:type="dxa"/>
              <w:bottom w:w="8" w:type="dxa"/>
              <w:right w:w="11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The lesser of $200 or two-thirds of the employee's daily rate</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The first 10 days may be unpaid (or employee may choose to use other types of leave.)  For the remaining 50 days, maximum is the lesser of $200 or two-thirds of the employee's daily rate</w:t>
            </w:r>
          </w:p>
        </w:tc>
      </w:tr>
      <w:tr w:rsidR="0027135D">
        <w:trPr>
          <w:trHeight w:val="576"/>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rPr>
                <w:color w:val="000000"/>
                <w:sz w:val="22"/>
                <w:szCs w:val="22"/>
              </w:rPr>
            </w:pPr>
            <w:r>
              <w:rPr>
                <w:rFonts w:ascii="Calibri" w:eastAsia="Calibri" w:hAnsi="Calibri" w:cs="Calibri"/>
                <w:color w:val="000000"/>
                <w:sz w:val="22"/>
                <w:szCs w:val="22"/>
              </w:rPr>
              <w:t>Maximum Total Amount</w:t>
            </w:r>
          </w:p>
        </w:tc>
        <w:tc>
          <w:tcPr>
            <w:tcW w:w="218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xml:space="preserve">$5,110 </w:t>
            </w:r>
          </w:p>
        </w:tc>
        <w:tc>
          <w:tcPr>
            <w:tcW w:w="2380" w:type="dxa"/>
            <w:tcBorders>
              <w:bottom w:val="single" w:sz="6" w:space="0" w:color="000000"/>
            </w:tcBorders>
            <w:tcMar>
              <w:top w:w="10" w:type="dxa"/>
              <w:left w:w="118" w:type="dxa"/>
              <w:bottom w:w="8" w:type="dxa"/>
              <w:right w:w="11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xml:space="preserve">$2,000 </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xml:space="preserve">$10,000 </w:t>
            </w:r>
          </w:p>
        </w:tc>
      </w:tr>
      <w:tr w:rsidR="0027135D">
        <w:trPr>
          <w:trHeight w:val="480"/>
        </w:trPr>
        <w:tc>
          <w:tcPr>
            <w:tcW w:w="4356" w:type="dxa"/>
            <w:gridSpan w:val="3"/>
            <w:tcBorders>
              <w:top w:val="single" w:sz="6" w:space="0" w:color="000000"/>
              <w:left w:val="double" w:sz="6" w:space="0" w:color="000000"/>
              <w:bottom w:val="single" w:sz="6" w:space="0" w:color="000000"/>
              <w:right w:val="single" w:sz="6" w:space="0" w:color="000000"/>
            </w:tcBorders>
            <w:tcMar>
              <w:top w:w="8"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Potential EXCEPTIONS</w:t>
            </w:r>
          </w:p>
        </w:tc>
        <w:tc>
          <w:tcPr>
            <w:tcW w:w="2380" w:type="dxa"/>
            <w:tcBorders>
              <w:bottom w:val="single" w:sz="6" w:space="0" w:color="000000"/>
            </w:tcBorders>
            <w:tcMar>
              <w:top w:w="10" w:type="dxa"/>
              <w:left w:w="118" w:type="dxa"/>
              <w:bottom w:w="8" w:type="dxa"/>
              <w:right w:w="11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w:t>
            </w:r>
          </w:p>
        </w:tc>
      </w:tr>
      <w:tr w:rsidR="0027135D">
        <w:trPr>
          <w:trHeight w:val="468"/>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rPr>
                <w:color w:val="000000"/>
                <w:sz w:val="22"/>
                <w:szCs w:val="22"/>
              </w:rPr>
            </w:pPr>
            <w:r>
              <w:rPr>
                <w:rFonts w:ascii="Calibri" w:eastAsia="Calibri" w:hAnsi="Calibri" w:cs="Calibri"/>
                <w:color w:val="000000"/>
                <w:sz w:val="22"/>
                <w:szCs w:val="22"/>
              </w:rPr>
              <w:t>Employers</w:t>
            </w:r>
          </w:p>
        </w:tc>
        <w:tc>
          <w:tcPr>
            <w:tcW w:w="7366" w:type="dxa"/>
            <w:gridSpan w:val="3"/>
            <w:tcBorders>
              <w:top w:val="single" w:sz="6" w:space="0" w:color="000000"/>
              <w:bottom w:val="single" w:sz="6" w:space="0" w:color="000000"/>
              <w:right w:val="double" w:sz="6" w:space="0" w:color="000000"/>
            </w:tcBorders>
            <w:tcMar>
              <w:top w:w="8" w:type="dxa"/>
              <w:left w:w="11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US Dept. of Labor may exempt some employers with fewer than 50 employees</w:t>
            </w:r>
          </w:p>
        </w:tc>
      </w:tr>
      <w:tr w:rsidR="0027135D">
        <w:trPr>
          <w:trHeight w:val="1044"/>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rsidR="0027135D" w:rsidRDefault="004E451C">
            <w:pPr>
              <w:rPr>
                <w:color w:val="000000"/>
                <w:sz w:val="22"/>
                <w:szCs w:val="22"/>
              </w:rPr>
            </w:pPr>
            <w:r>
              <w:rPr>
                <w:rFonts w:ascii="Calibri" w:eastAsia="Calibri" w:hAnsi="Calibri" w:cs="Calibri"/>
                <w:color w:val="000000"/>
                <w:sz w:val="22"/>
                <w:szCs w:val="22"/>
              </w:rPr>
              <w:t>Health care employees</w:t>
            </w:r>
          </w:p>
        </w:tc>
        <w:tc>
          <w:tcPr>
            <w:tcW w:w="4560" w:type="dxa"/>
            <w:gridSpan w:val="2"/>
            <w:tcBorders>
              <w:top w:val="single" w:sz="6" w:space="0" w:color="000000"/>
              <w:bottom w:val="single" w:sz="6" w:space="0" w:color="000000"/>
            </w:tcBorders>
            <w:tcMar>
              <w:top w:w="8" w:type="dxa"/>
              <w:left w:w="118" w:type="dxa"/>
              <w:bottom w:w="8" w:type="dxa"/>
              <w:right w:w="118" w:type="dxa"/>
            </w:tcMar>
            <w:vAlign w:val="center"/>
            <w:hideMark/>
          </w:tcPr>
          <w:p w:rsidR="0027135D" w:rsidRDefault="00F064FD">
            <w:pPr>
              <w:jc w:val="center"/>
              <w:rPr>
                <w:color w:val="000000"/>
                <w:sz w:val="22"/>
                <w:szCs w:val="22"/>
              </w:rPr>
            </w:pPr>
            <w:r>
              <w:rPr>
                <w:rFonts w:ascii="Calibri" w:eastAsia="Calibri" w:hAnsi="Calibri" w:cs="Calibri"/>
                <w:color w:val="000000"/>
                <w:sz w:val="22"/>
                <w:szCs w:val="22"/>
              </w:rPr>
              <w:t>As of 3/29, health centers</w:t>
            </w:r>
            <w:r w:rsidR="004E451C">
              <w:rPr>
                <w:rFonts w:ascii="Calibri" w:eastAsia="Calibri" w:hAnsi="Calibri" w:cs="Calibri"/>
                <w:color w:val="000000"/>
                <w:sz w:val="22"/>
                <w:szCs w:val="22"/>
              </w:rPr>
              <w:t xml:space="preserve"> can choose to deny emergency </w:t>
            </w:r>
            <w:r>
              <w:rPr>
                <w:rFonts w:ascii="Calibri" w:eastAsia="Calibri" w:hAnsi="Calibri" w:cs="Calibri"/>
                <w:color w:val="000000"/>
                <w:sz w:val="22"/>
                <w:szCs w:val="22"/>
              </w:rPr>
              <w:t xml:space="preserve">sick </w:t>
            </w:r>
            <w:r w:rsidR="004E451C">
              <w:rPr>
                <w:rFonts w:ascii="Calibri" w:eastAsia="Calibri" w:hAnsi="Calibri" w:cs="Calibri"/>
                <w:color w:val="000000"/>
                <w:sz w:val="22"/>
                <w:szCs w:val="22"/>
              </w:rPr>
              <w:t xml:space="preserve">leave to </w:t>
            </w:r>
            <w:r w:rsidRPr="00F064FD">
              <w:rPr>
                <w:rFonts w:ascii="Calibri" w:eastAsia="Calibri" w:hAnsi="Calibri" w:cs="Calibri"/>
                <w:color w:val="000000"/>
                <w:sz w:val="22"/>
                <w:szCs w:val="22"/>
                <w:u w:val="single"/>
              </w:rPr>
              <w:t>all</w:t>
            </w:r>
            <w:r>
              <w:rPr>
                <w:rFonts w:ascii="Calibri" w:eastAsia="Calibri" w:hAnsi="Calibri" w:cs="Calibri"/>
                <w:color w:val="000000"/>
                <w:sz w:val="22"/>
                <w:szCs w:val="22"/>
              </w:rPr>
              <w:t xml:space="preserve"> </w:t>
            </w:r>
            <w:r w:rsidR="004E451C">
              <w:rPr>
                <w:rFonts w:ascii="Calibri" w:eastAsia="Calibri" w:hAnsi="Calibri" w:cs="Calibri"/>
                <w:color w:val="000000"/>
                <w:sz w:val="22"/>
                <w:szCs w:val="22"/>
              </w:rPr>
              <w:t>employees (</w:t>
            </w:r>
            <w:r>
              <w:rPr>
                <w:rFonts w:ascii="Calibri" w:eastAsia="Calibri" w:hAnsi="Calibri" w:cs="Calibri"/>
                <w:color w:val="000000"/>
                <w:sz w:val="22"/>
                <w:szCs w:val="22"/>
              </w:rPr>
              <w:t>not just clinical staff.)  PCAs &amp; HCCNs cannot deny this leave</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xml:space="preserve">Both employers and the US Dept of Labor can choose to deny this FML to </w:t>
            </w:r>
            <w:r w:rsidR="00F064FD">
              <w:rPr>
                <w:rFonts w:ascii="Calibri" w:eastAsia="Calibri" w:hAnsi="Calibri" w:cs="Calibri"/>
                <w:color w:val="000000"/>
                <w:sz w:val="22"/>
                <w:szCs w:val="22"/>
              </w:rPr>
              <w:t xml:space="preserve">all </w:t>
            </w:r>
            <w:r>
              <w:rPr>
                <w:rFonts w:ascii="Calibri" w:eastAsia="Calibri" w:hAnsi="Calibri" w:cs="Calibri"/>
                <w:color w:val="000000"/>
                <w:sz w:val="22"/>
                <w:szCs w:val="22"/>
              </w:rPr>
              <w:t xml:space="preserve">health </w:t>
            </w:r>
            <w:r w:rsidR="00F064FD">
              <w:rPr>
                <w:rFonts w:ascii="Calibri" w:eastAsia="Calibri" w:hAnsi="Calibri" w:cs="Calibri"/>
                <w:color w:val="000000"/>
                <w:sz w:val="22"/>
                <w:szCs w:val="22"/>
              </w:rPr>
              <w:t xml:space="preserve">center </w:t>
            </w:r>
            <w:r>
              <w:rPr>
                <w:rFonts w:ascii="Calibri" w:eastAsia="Calibri" w:hAnsi="Calibri" w:cs="Calibri"/>
                <w:color w:val="000000"/>
                <w:sz w:val="22"/>
                <w:szCs w:val="22"/>
              </w:rPr>
              <w:t>employees.</w:t>
            </w:r>
          </w:p>
        </w:tc>
      </w:tr>
      <w:tr w:rsidR="0027135D">
        <w:trPr>
          <w:trHeight w:val="1140"/>
        </w:trPr>
        <w:tc>
          <w:tcPr>
            <w:tcW w:w="2176" w:type="dxa"/>
            <w:gridSpan w:val="2"/>
            <w:tcBorders>
              <w:top w:val="single" w:sz="6" w:space="0" w:color="000000"/>
              <w:left w:val="double" w:sz="6" w:space="0" w:color="000000"/>
              <w:bottom w:val="single" w:sz="6" w:space="0" w:color="000000"/>
              <w:right w:val="single" w:sz="6" w:space="0" w:color="000000"/>
            </w:tcBorders>
            <w:tcMar>
              <w:top w:w="8" w:type="dxa"/>
              <w:left w:w="108" w:type="dxa"/>
              <w:bottom w:w="8"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How employers get REIMBURSED</w:t>
            </w:r>
          </w:p>
        </w:tc>
        <w:tc>
          <w:tcPr>
            <w:tcW w:w="7366" w:type="dxa"/>
            <w:gridSpan w:val="3"/>
            <w:tcBorders>
              <w:top w:val="single" w:sz="6" w:space="0" w:color="000000"/>
              <w:bottom w:val="single" w:sz="6" w:space="0" w:color="000000"/>
              <w:right w:val="double" w:sz="6" w:space="0" w:color="000000"/>
            </w:tcBorders>
            <w:tcMar>
              <w:top w:w="8" w:type="dxa"/>
              <w:left w:w="118" w:type="dxa"/>
              <w:bottom w:w="8" w:type="dxa"/>
              <w:right w:w="108" w:type="dxa"/>
            </w:tcMar>
            <w:vAlign w:val="center"/>
            <w:hideMark/>
          </w:tcPr>
          <w:p w:rsidR="0027135D" w:rsidRDefault="004E451C">
            <w:pPr>
              <w:jc w:val="center"/>
              <w:rPr>
                <w:color w:val="000000"/>
                <w:sz w:val="22"/>
                <w:szCs w:val="22"/>
              </w:rPr>
            </w:pPr>
            <w:r>
              <w:rPr>
                <w:rFonts w:ascii="Calibri" w:eastAsia="Calibri" w:hAnsi="Calibri" w:cs="Calibri"/>
                <w:color w:val="000000"/>
                <w:sz w:val="22"/>
                <w:szCs w:val="22"/>
              </w:rPr>
              <w:t xml:space="preserve">Employers receive a refundable tax credit equal to 100% of the eligible leave costs described above.  The tax credit is applied against an employer’s total portion of Social Security taxes for the period, and is refundable. </w:t>
            </w:r>
          </w:p>
        </w:tc>
      </w:tr>
      <w:tr w:rsidR="0027135D">
        <w:trPr>
          <w:trHeight w:val="132"/>
        </w:trPr>
        <w:tc>
          <w:tcPr>
            <w:tcW w:w="356" w:type="dxa"/>
            <w:tcBorders>
              <w:left w:val="double" w:sz="6" w:space="0" w:color="000000"/>
              <w:bottom w:val="double" w:sz="6" w:space="0" w:color="000000"/>
              <w:right w:val="single" w:sz="6" w:space="0" w:color="000000"/>
            </w:tcBorders>
            <w:tcMar>
              <w:top w:w="10" w:type="dxa"/>
              <w:left w:w="108" w:type="dxa"/>
              <w:bottom w:w="22" w:type="dxa"/>
              <w:right w:w="108" w:type="dxa"/>
            </w:tcMar>
            <w:vAlign w:val="center"/>
            <w:hideMark/>
          </w:tcPr>
          <w:p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double" w:sz="6" w:space="0" w:color="000000"/>
              <w:right w:val="single" w:sz="6" w:space="0" w:color="000000"/>
            </w:tcBorders>
            <w:tcMar>
              <w:top w:w="10" w:type="dxa"/>
              <w:left w:w="118" w:type="dxa"/>
              <w:bottom w:w="22" w:type="dxa"/>
              <w:right w:w="108" w:type="dxa"/>
            </w:tcMar>
            <w:vAlign w:val="center"/>
            <w:hideMark/>
          </w:tcPr>
          <w:p w:rsidR="0027135D" w:rsidRDefault="004E451C">
            <w:pPr>
              <w:rPr>
                <w:color w:val="000000"/>
                <w:sz w:val="22"/>
                <w:szCs w:val="22"/>
              </w:rPr>
            </w:pPr>
            <w:r>
              <w:rPr>
                <w:rFonts w:ascii="Calibri" w:eastAsia="Calibri" w:hAnsi="Calibri" w:cs="Calibri"/>
                <w:color w:val="000000"/>
                <w:sz w:val="22"/>
                <w:szCs w:val="22"/>
              </w:rPr>
              <w:t> </w:t>
            </w:r>
          </w:p>
        </w:tc>
        <w:tc>
          <w:tcPr>
            <w:tcW w:w="2180" w:type="dxa"/>
            <w:tcBorders>
              <w:bottom w:val="double" w:sz="6" w:space="0" w:color="000000"/>
              <w:right w:val="single" w:sz="6" w:space="0" w:color="000000"/>
            </w:tcBorders>
            <w:tcMar>
              <w:top w:w="10" w:type="dxa"/>
              <w:left w:w="118" w:type="dxa"/>
              <w:bottom w:w="22" w:type="dxa"/>
              <w:right w:w="108" w:type="dxa"/>
            </w:tcMar>
            <w:vAlign w:val="center"/>
            <w:hideMark/>
          </w:tcPr>
          <w:p w:rsidR="0027135D" w:rsidRDefault="004E451C">
            <w:pPr>
              <w:rPr>
                <w:color w:val="000000"/>
                <w:sz w:val="22"/>
                <w:szCs w:val="22"/>
              </w:rPr>
            </w:pPr>
            <w:r>
              <w:rPr>
                <w:rFonts w:ascii="Calibri" w:eastAsia="Calibri" w:hAnsi="Calibri" w:cs="Calibri"/>
                <w:color w:val="000000"/>
                <w:sz w:val="22"/>
                <w:szCs w:val="22"/>
              </w:rPr>
              <w:t> </w:t>
            </w:r>
          </w:p>
        </w:tc>
        <w:tc>
          <w:tcPr>
            <w:tcW w:w="2380" w:type="dxa"/>
            <w:tcBorders>
              <w:bottom w:val="double" w:sz="6" w:space="0" w:color="000000"/>
              <w:right w:val="single" w:sz="6" w:space="0" w:color="000000"/>
            </w:tcBorders>
            <w:tcMar>
              <w:top w:w="10" w:type="dxa"/>
              <w:left w:w="118" w:type="dxa"/>
              <w:bottom w:w="22" w:type="dxa"/>
              <w:right w:w="108" w:type="dxa"/>
            </w:tcMar>
            <w:vAlign w:val="center"/>
            <w:hideMark/>
          </w:tcPr>
          <w:p w:rsidR="0027135D" w:rsidRDefault="004E451C">
            <w:pPr>
              <w:rPr>
                <w:color w:val="000000"/>
                <w:sz w:val="22"/>
                <w:szCs w:val="22"/>
              </w:rPr>
            </w:pPr>
            <w:r>
              <w:rPr>
                <w:rFonts w:ascii="Calibri" w:eastAsia="Calibri" w:hAnsi="Calibri" w:cs="Calibri"/>
                <w:color w:val="000000"/>
                <w:sz w:val="22"/>
                <w:szCs w:val="22"/>
              </w:rPr>
              <w:t> </w:t>
            </w:r>
          </w:p>
        </w:tc>
        <w:tc>
          <w:tcPr>
            <w:tcW w:w="2806" w:type="dxa"/>
            <w:tcBorders>
              <w:bottom w:val="double" w:sz="6" w:space="0" w:color="000000"/>
              <w:right w:val="double" w:sz="6" w:space="0" w:color="000000"/>
            </w:tcBorders>
            <w:tcMar>
              <w:top w:w="10" w:type="dxa"/>
              <w:left w:w="118" w:type="dxa"/>
              <w:bottom w:w="22" w:type="dxa"/>
              <w:right w:w="108" w:type="dxa"/>
            </w:tcMar>
            <w:vAlign w:val="center"/>
            <w:hideMark/>
          </w:tcPr>
          <w:p w:rsidR="0027135D" w:rsidRDefault="004E451C">
            <w:pPr>
              <w:rPr>
                <w:color w:val="000000"/>
                <w:sz w:val="22"/>
                <w:szCs w:val="22"/>
              </w:rPr>
            </w:pPr>
            <w:r>
              <w:rPr>
                <w:rFonts w:ascii="Calibri" w:eastAsia="Calibri" w:hAnsi="Calibri" w:cs="Calibri"/>
                <w:color w:val="000000"/>
                <w:sz w:val="22"/>
                <w:szCs w:val="22"/>
              </w:rPr>
              <w:t> </w:t>
            </w:r>
          </w:p>
        </w:tc>
      </w:tr>
    </w:tbl>
    <w:p w:rsidR="0027135D" w:rsidRDefault="0027135D">
      <w:pPr>
        <w:rPr>
          <w:sz w:val="22"/>
          <w:szCs w:val="22"/>
        </w:rPr>
      </w:pPr>
    </w:p>
    <w:p w:rsidR="00AD6A46" w:rsidRDefault="00AD6A46" w:rsidP="00E34C5E">
      <w:pPr>
        <w:pStyle w:val="Heading1"/>
      </w:pPr>
      <w:r>
        <w:lastRenderedPageBreak/>
        <w:t>Economic Injury Disaster Loans (EIDLs)</w:t>
      </w:r>
    </w:p>
    <w:p w:rsidR="00AD6A46" w:rsidRDefault="00AD6A46" w:rsidP="00AD6A46"/>
    <w:p w:rsidR="00AD6A46" w:rsidRDefault="00AD6A46" w:rsidP="00AD6A46">
      <w:r>
        <w:rPr>
          <w:rFonts w:ascii="Calibri" w:eastAsia="Calibri" w:hAnsi="Calibri" w:cs="Calibri"/>
        </w:rPr>
        <w:t xml:space="preserve">The </w:t>
      </w:r>
      <w:hyperlink r:id="rId29" w:history="1">
        <w:r>
          <w:rPr>
            <w:rFonts w:ascii="Calibri" w:eastAsia="Calibri" w:hAnsi="Calibri" w:cs="Calibri"/>
            <w:color w:val="0563C1"/>
            <w:u w:val="single" w:color="0563C1"/>
          </w:rPr>
          <w:t>Coronavirus Preparedness and Response Supplemental Appropriations Act</w:t>
        </w:r>
      </w:hyperlink>
      <w:r>
        <w:rPr>
          <w:rFonts w:ascii="Calibri" w:eastAsia="Calibri" w:hAnsi="Calibri" w:cs="Calibri"/>
        </w:rPr>
        <w:t xml:space="preserve">, signed into law on March 6, 2020 makes low-interest loans and emergency grants available immediately and directly through the </w:t>
      </w:r>
      <w:hyperlink r:id="rId30" w:history="1">
        <w:r>
          <w:rPr>
            <w:rFonts w:ascii="Calibri" w:eastAsia="Calibri" w:hAnsi="Calibri" w:cs="Calibri"/>
            <w:color w:val="0563C1"/>
            <w:u w:val="single" w:color="0563C1"/>
          </w:rPr>
          <w:t>Small Business Administration</w:t>
        </w:r>
      </w:hyperlink>
      <w:r>
        <w:rPr>
          <w:rFonts w:ascii="Calibri" w:eastAsia="Calibri" w:hAnsi="Calibri" w:cs="Calibri"/>
        </w:rPr>
        <w:t xml:space="preserve"> for health centers that are experiencing substantial economic distress due to COVID-19. </w:t>
      </w:r>
    </w:p>
    <w:p w:rsidR="00AD6A46" w:rsidRDefault="00AD6A46" w:rsidP="00AD6A46"/>
    <w:p w:rsidR="00AD6A46" w:rsidRDefault="00AD6A46" w:rsidP="00AD6A46">
      <w:r>
        <w:rPr>
          <w:rFonts w:ascii="Calibri" w:eastAsia="Calibri" w:hAnsi="Calibri" w:cs="Calibri"/>
          <w:i/>
          <w:iCs/>
          <w:u w:val="single"/>
        </w:rPr>
        <w:t>Who qualifies?</w:t>
      </w:r>
    </w:p>
    <w:p w:rsidR="00AD6A46" w:rsidRDefault="00AD6A46" w:rsidP="00AD6A46">
      <w:pPr>
        <w:pBdr>
          <w:left w:val="none" w:sz="0" w:space="7" w:color="auto"/>
        </w:pBdr>
        <w:ind w:left="140"/>
      </w:pPr>
    </w:p>
    <w:p w:rsidR="00AD6A46" w:rsidRDefault="00AD6A46" w:rsidP="00AD6A46">
      <w:pPr>
        <w:pBdr>
          <w:left w:val="none" w:sz="0" w:space="7" w:color="auto"/>
        </w:pBdr>
        <w:ind w:left="140"/>
      </w:pPr>
      <w:r>
        <w:rPr>
          <w:rFonts w:ascii="Calibri" w:eastAsia="Calibri" w:hAnsi="Calibri" w:cs="Calibri"/>
        </w:rPr>
        <w:t xml:space="preserve">As private non-profits, all health centers </w:t>
      </w:r>
      <w:r w:rsidRPr="00D22574">
        <w:rPr>
          <w:rFonts w:ascii="Calibri" w:eastAsia="Calibri" w:hAnsi="Calibri" w:cs="Calibri"/>
          <w:b/>
          <w:bCs/>
          <w:i/>
          <w:iCs/>
        </w:rPr>
        <w:t>regardless of size</w:t>
      </w:r>
      <w:r>
        <w:rPr>
          <w:rFonts w:ascii="Calibri" w:eastAsia="Calibri" w:hAnsi="Calibri" w:cs="Calibri"/>
        </w:rPr>
        <w:t xml:space="preserve"> are eligible under the expanded criteria. Expanded eligibility criteria and emergency grants are only available between January 31, 2020 and December 31, 2020.</w:t>
      </w:r>
    </w:p>
    <w:p w:rsidR="00AD6A46" w:rsidRDefault="00AD6A46" w:rsidP="00AD6A46"/>
    <w:p w:rsidR="00AD6A46" w:rsidRDefault="00AD6A46" w:rsidP="00AD6A46">
      <w:r>
        <w:rPr>
          <w:rFonts w:ascii="Calibri" w:eastAsia="Calibri" w:hAnsi="Calibri" w:cs="Calibri"/>
          <w:i/>
          <w:iCs/>
          <w:u w:val="single"/>
        </w:rPr>
        <w:t>What are the terms?</w:t>
      </w:r>
    </w:p>
    <w:p w:rsidR="00AD6A46" w:rsidRDefault="00AD6A46" w:rsidP="00AD6A46">
      <w:pPr>
        <w:pBdr>
          <w:left w:val="none" w:sz="0" w:space="7" w:color="auto"/>
        </w:pBdr>
        <w:ind w:left="720"/>
      </w:pPr>
    </w:p>
    <w:p w:rsidR="00AD6A46" w:rsidRDefault="00AD6A46" w:rsidP="00AD6A46">
      <w:pPr>
        <w:numPr>
          <w:ilvl w:val="0"/>
          <w:numId w:val="1"/>
        </w:numPr>
        <w:pBdr>
          <w:left w:val="none" w:sz="0" w:space="10" w:color="auto"/>
        </w:pBdr>
        <w:ind w:hanging="506"/>
      </w:pPr>
      <w:r>
        <w:rPr>
          <w:rFonts w:ascii="Calibri" w:eastAsia="Calibri" w:hAnsi="Calibri" w:cs="Calibri"/>
        </w:rPr>
        <w:t>Up to $2 million in loan principle assistance.</w:t>
      </w:r>
    </w:p>
    <w:p w:rsidR="00AD6A46" w:rsidRDefault="00AD6A46" w:rsidP="00AD6A46">
      <w:pPr>
        <w:numPr>
          <w:ilvl w:val="0"/>
          <w:numId w:val="1"/>
        </w:numPr>
        <w:pBdr>
          <w:left w:val="none" w:sz="0" w:space="10" w:color="auto"/>
        </w:pBdr>
        <w:ind w:hanging="506"/>
      </w:pPr>
      <w:r>
        <w:rPr>
          <w:rFonts w:ascii="Calibri" w:eastAsia="Calibri" w:hAnsi="Calibri" w:cs="Calibri"/>
        </w:rPr>
        <w:t xml:space="preserve">When you apply you can request an emergency grant advance of $10,000. The advance </w:t>
      </w:r>
      <w:r>
        <w:rPr>
          <w:rFonts w:ascii="Calibri" w:eastAsia="Calibri" w:hAnsi="Calibri" w:cs="Calibri"/>
          <w:u w:val="single"/>
        </w:rPr>
        <w:t>does not need to be repaid</w:t>
      </w:r>
      <w:r>
        <w:rPr>
          <w:rFonts w:ascii="Calibri" w:eastAsia="Calibri" w:hAnsi="Calibri" w:cs="Calibri"/>
        </w:rPr>
        <w:t xml:space="preserve"> under any circumstance.</w:t>
      </w:r>
    </w:p>
    <w:p w:rsidR="00AD6A46" w:rsidRDefault="00AD6A46" w:rsidP="00AD6A46">
      <w:pPr>
        <w:numPr>
          <w:ilvl w:val="0"/>
          <w:numId w:val="1"/>
        </w:numPr>
        <w:pBdr>
          <w:left w:val="none" w:sz="0" w:space="10" w:color="auto"/>
        </w:pBdr>
        <w:ind w:hanging="506"/>
      </w:pPr>
      <w:r>
        <w:rPr>
          <w:rFonts w:ascii="Calibri" w:eastAsia="Calibri" w:hAnsi="Calibri" w:cs="Calibri"/>
        </w:rPr>
        <w:t>Grant may be used to keep employees on payroll, to pay for sick leave, meet increased production costs due to supply chain disruptions, or pay business obligations, including debts, rent, and mortgage payments. Money will be available within 3 days of applying.</w:t>
      </w:r>
    </w:p>
    <w:p w:rsidR="00AD6A46" w:rsidRDefault="00AD6A46" w:rsidP="00AD6A46">
      <w:pPr>
        <w:numPr>
          <w:ilvl w:val="0"/>
          <w:numId w:val="1"/>
        </w:numPr>
        <w:pBdr>
          <w:left w:val="none" w:sz="0" w:space="10" w:color="auto"/>
        </w:pBdr>
        <w:ind w:hanging="506"/>
      </w:pPr>
      <w:r>
        <w:rPr>
          <w:rFonts w:ascii="Calibri" w:eastAsia="Calibri" w:hAnsi="Calibri" w:cs="Calibri"/>
        </w:rPr>
        <w:t>May be used to pay fixed debts, payroll, accounts payable and other bills that can’t be paid because of the disaster’s impact.</w:t>
      </w:r>
    </w:p>
    <w:p w:rsidR="00AD6A46" w:rsidRDefault="00AD6A46" w:rsidP="00AD6A46">
      <w:pPr>
        <w:numPr>
          <w:ilvl w:val="0"/>
          <w:numId w:val="1"/>
        </w:numPr>
        <w:pBdr>
          <w:left w:val="none" w:sz="0" w:space="10" w:color="auto"/>
        </w:pBdr>
        <w:ind w:hanging="506"/>
      </w:pPr>
      <w:r>
        <w:rPr>
          <w:rFonts w:ascii="Calibri" w:eastAsia="Calibri" w:hAnsi="Calibri" w:cs="Calibri"/>
        </w:rPr>
        <w:t>The interest rate for non-profits is 2.75% and repayment terms are flexible up to 30 years.</w:t>
      </w:r>
    </w:p>
    <w:p w:rsidR="00AD6A46" w:rsidRDefault="00AD6A46" w:rsidP="00AD6A46">
      <w:pPr>
        <w:numPr>
          <w:ilvl w:val="0"/>
          <w:numId w:val="1"/>
        </w:numPr>
        <w:pBdr>
          <w:left w:val="none" w:sz="0" w:space="10" w:color="auto"/>
        </w:pBdr>
        <w:ind w:hanging="506"/>
      </w:pPr>
      <w:r>
        <w:rPr>
          <w:rFonts w:ascii="Calibri" w:eastAsia="Calibri" w:hAnsi="Calibri" w:cs="Calibri"/>
        </w:rPr>
        <w:t xml:space="preserve">Loans are eligible for 12 months of deferment of principle and interest. </w:t>
      </w:r>
    </w:p>
    <w:p w:rsidR="00AD6A46" w:rsidRDefault="00AD6A46" w:rsidP="00AD6A46"/>
    <w:p w:rsidR="00AD6A46" w:rsidRDefault="00AD6A46" w:rsidP="00AD6A46">
      <w:r>
        <w:rPr>
          <w:rFonts w:ascii="Calibri" w:eastAsia="Calibri" w:hAnsi="Calibri" w:cs="Calibri"/>
          <w:i/>
          <w:iCs/>
          <w:u w:val="single"/>
        </w:rPr>
        <w:t xml:space="preserve">How do I apply? </w:t>
      </w:r>
    </w:p>
    <w:p w:rsidR="00AD6A46" w:rsidRDefault="00AD6A46" w:rsidP="00AD6A46"/>
    <w:p w:rsidR="00AD6A46" w:rsidRDefault="00AD6A46" w:rsidP="00AD6A46">
      <w:r>
        <w:rPr>
          <w:rFonts w:ascii="Calibri" w:eastAsia="Calibri" w:hAnsi="Calibri" w:cs="Calibri"/>
        </w:rPr>
        <w:t xml:space="preserve">Apply directly </w:t>
      </w:r>
      <w:hyperlink r:id="rId31" w:history="1">
        <w:r>
          <w:rPr>
            <w:rFonts w:ascii="Calibri" w:eastAsia="Calibri" w:hAnsi="Calibri" w:cs="Calibri"/>
            <w:color w:val="0563C1"/>
            <w:u w:val="single" w:color="0563C1"/>
          </w:rPr>
          <w:t>through the SBA</w:t>
        </w:r>
      </w:hyperlink>
      <w:r>
        <w:rPr>
          <w:rFonts w:ascii="Calibri" w:eastAsia="Calibri" w:hAnsi="Calibri" w:cs="Calibri"/>
        </w:rPr>
        <w:t xml:space="preserve">. Applicants may </w:t>
      </w:r>
      <w:hyperlink r:id="rId32" w:history="1">
        <w:r>
          <w:rPr>
            <w:rFonts w:ascii="Calibri" w:eastAsia="Calibri" w:hAnsi="Calibri" w:cs="Calibri"/>
            <w:color w:val="0563C1"/>
            <w:u w:val="single" w:color="0563C1"/>
          </w:rPr>
          <w:t>apply online</w:t>
        </w:r>
      </w:hyperlink>
      <w:r>
        <w:rPr>
          <w:rFonts w:ascii="Calibri" w:eastAsia="Calibri" w:hAnsi="Calibri" w:cs="Calibri"/>
        </w:rPr>
        <w:t xml:space="preserve"> or call 1-800-659-2955. Questions on the program can be referred to: </w:t>
      </w:r>
      <w:hyperlink r:id="rId33" w:history="1">
        <w:r>
          <w:rPr>
            <w:rFonts w:ascii="Calibri" w:eastAsia="Calibri" w:hAnsi="Calibri" w:cs="Calibri"/>
            <w:color w:val="0563C1"/>
            <w:u w:val="single" w:color="0563C1"/>
          </w:rPr>
          <w:t>disastercustomerservice@sba.gov</w:t>
        </w:r>
      </w:hyperlink>
      <w:r>
        <w:rPr>
          <w:rFonts w:ascii="Calibri" w:eastAsia="Calibri" w:hAnsi="Calibri" w:cs="Calibri"/>
        </w:rPr>
        <w:t>, or at the number above.</w:t>
      </w:r>
    </w:p>
    <w:p w:rsidR="002D5955" w:rsidRDefault="002D5955" w:rsidP="002D5955">
      <w:pPr>
        <w:pStyle w:val="Heading1"/>
        <w:rPr>
          <w:i/>
          <w:iCs/>
          <w:color w:val="333333"/>
        </w:rPr>
      </w:pPr>
      <w:r>
        <w:rPr>
          <w:sz w:val="22"/>
          <w:szCs w:val="22"/>
        </w:rPr>
        <w:br w:type="page"/>
      </w:r>
      <w:r>
        <w:lastRenderedPageBreak/>
        <w:t xml:space="preserve">Tax Credits for </w:t>
      </w:r>
      <w:r w:rsidRPr="00D9595E">
        <w:t xml:space="preserve">Employee </w:t>
      </w:r>
      <w:r>
        <w:t>R</w:t>
      </w:r>
      <w:r w:rsidRPr="00D9595E">
        <w:t>etention</w:t>
      </w:r>
    </w:p>
    <w:p w:rsidR="002D5955" w:rsidRDefault="002D5955" w:rsidP="002D5955">
      <w:pPr>
        <w:shd w:val="clear" w:color="auto" w:fill="FFFFFF"/>
        <w:rPr>
          <w:rFonts w:asciiTheme="minorHAnsi" w:hAnsiTheme="minorHAnsi" w:cstheme="minorHAnsi"/>
          <w:color w:val="333333"/>
        </w:rPr>
      </w:pPr>
    </w:p>
    <w:p w:rsidR="002D5955" w:rsidRDefault="002D5955" w:rsidP="002D5955">
      <w:pPr>
        <w:shd w:val="clear" w:color="auto" w:fill="FFFFFF"/>
        <w:rPr>
          <w:rFonts w:cstheme="minorHAnsi"/>
          <w:b/>
          <w:bCs/>
          <w:i/>
          <w:iCs/>
          <w:color w:val="333333"/>
        </w:rPr>
      </w:pPr>
      <w:bookmarkStart w:id="3" w:name="_Hlk37015581"/>
      <w:r w:rsidRPr="000E1DBF">
        <w:rPr>
          <w:rFonts w:asciiTheme="minorHAnsi" w:hAnsiTheme="minorHAnsi" w:cstheme="minorHAnsi"/>
          <w:color w:val="333333"/>
        </w:rPr>
        <w:t xml:space="preserve">Section 2301 of the CARES Act provides a refundable payroll tax credit for certain wages paid to employees </w:t>
      </w:r>
      <w:r>
        <w:rPr>
          <w:rFonts w:asciiTheme="minorHAnsi" w:hAnsiTheme="minorHAnsi" w:cstheme="minorHAnsi"/>
          <w:color w:val="333333"/>
        </w:rPr>
        <w:t xml:space="preserve">who are not able to “provide services” due to COVID-19.  This program, along with ability to defer certain employment taxes (as established under </w:t>
      </w:r>
      <w:r w:rsidRPr="000E1DBF">
        <w:rPr>
          <w:rFonts w:asciiTheme="minorHAnsi" w:hAnsiTheme="minorHAnsi" w:cstheme="minorHAnsi"/>
          <w:color w:val="333333"/>
        </w:rPr>
        <w:t xml:space="preserve">Section 2302 </w:t>
      </w:r>
      <w:r>
        <w:rPr>
          <w:rFonts w:asciiTheme="minorHAnsi" w:hAnsiTheme="minorHAnsi" w:cstheme="minorHAnsi"/>
          <w:color w:val="333333"/>
        </w:rPr>
        <w:t xml:space="preserve">of CARES), </w:t>
      </w:r>
      <w:r w:rsidRPr="000E1DBF">
        <w:rPr>
          <w:rFonts w:asciiTheme="minorHAnsi" w:hAnsiTheme="minorHAnsi" w:cstheme="minorHAnsi"/>
          <w:color w:val="333333"/>
        </w:rPr>
        <w:t xml:space="preserve">are designed to encourage employers to continue paying wages to employees </w:t>
      </w:r>
      <w:r>
        <w:rPr>
          <w:rFonts w:asciiTheme="minorHAnsi" w:hAnsiTheme="minorHAnsi" w:cstheme="minorHAnsi"/>
          <w:color w:val="333333"/>
        </w:rPr>
        <w:t>even when they are unable to perform their regular duties</w:t>
      </w:r>
      <w:r w:rsidRPr="000E1DBF">
        <w:rPr>
          <w:rFonts w:asciiTheme="minorHAnsi" w:hAnsiTheme="minorHAnsi" w:cstheme="minorHAnsi"/>
          <w:color w:val="333333"/>
        </w:rPr>
        <w:t>.</w:t>
      </w:r>
      <w:r w:rsidRPr="000E1DBF">
        <w:rPr>
          <w:rFonts w:asciiTheme="minorHAnsi" w:hAnsiTheme="minorHAnsi" w:cstheme="minorHAnsi"/>
          <w:color w:val="333333"/>
        </w:rPr>
        <w:br/>
      </w:r>
    </w:p>
    <w:bookmarkEnd w:id="3"/>
    <w:p w:rsidR="002D5955" w:rsidRPr="00392779" w:rsidRDefault="002D5955" w:rsidP="002D5955">
      <w:pPr>
        <w:shd w:val="clear" w:color="auto" w:fill="FFFFFF"/>
        <w:rPr>
          <w:rFonts w:asciiTheme="minorHAnsi" w:hAnsiTheme="minorHAnsi" w:cstheme="minorHAnsi"/>
          <w:i/>
          <w:iCs/>
          <w:color w:val="333333"/>
        </w:rPr>
      </w:pPr>
      <w:r w:rsidRPr="00392779">
        <w:rPr>
          <w:rFonts w:asciiTheme="minorHAnsi" w:hAnsiTheme="minorHAnsi" w:cstheme="minorHAnsi"/>
          <w:i/>
          <w:iCs/>
          <w:color w:val="333333"/>
          <w:u w:val="single"/>
        </w:rPr>
        <w:t>Who is eligible?</w:t>
      </w:r>
      <w:r w:rsidRPr="00392779">
        <w:rPr>
          <w:rFonts w:asciiTheme="minorHAnsi" w:hAnsiTheme="minorHAnsi" w:cstheme="minorHAnsi"/>
          <w:i/>
          <w:iCs/>
          <w:color w:val="333333"/>
        </w:rPr>
        <w:t xml:space="preserve">  </w:t>
      </w:r>
    </w:p>
    <w:p w:rsidR="002D5955" w:rsidRPr="00392779" w:rsidRDefault="002D5955" w:rsidP="002D5955">
      <w:pPr>
        <w:shd w:val="clear" w:color="auto" w:fill="FFFFFF"/>
        <w:rPr>
          <w:rFonts w:asciiTheme="minorHAnsi" w:hAnsiTheme="minorHAnsi" w:cstheme="minorHAnsi"/>
          <w:color w:val="333333"/>
        </w:rPr>
      </w:pPr>
      <w:r w:rsidRPr="00392779">
        <w:rPr>
          <w:rFonts w:asciiTheme="minorHAnsi" w:hAnsiTheme="minorHAnsi" w:cstheme="minorHAnsi"/>
          <w:color w:val="333333"/>
        </w:rPr>
        <w:t>All employers are eligible -- regardless of size – provided that:</w:t>
      </w:r>
    </w:p>
    <w:p w:rsidR="002D5955" w:rsidRPr="00392779" w:rsidRDefault="002D5955" w:rsidP="002D5955">
      <w:pPr>
        <w:pStyle w:val="ListParagraph"/>
        <w:numPr>
          <w:ilvl w:val="0"/>
          <w:numId w:val="16"/>
        </w:numPr>
        <w:shd w:val="clear" w:color="auto" w:fill="FFFFFF"/>
        <w:spacing w:after="0" w:line="240" w:lineRule="auto"/>
        <w:ind w:left="720"/>
        <w:rPr>
          <w:rFonts w:eastAsia="Times New Roman" w:cstheme="minorHAnsi"/>
          <w:color w:val="333333"/>
          <w:sz w:val="24"/>
          <w:szCs w:val="24"/>
        </w:rPr>
      </w:pPr>
      <w:r w:rsidRPr="00392779">
        <w:rPr>
          <w:rFonts w:eastAsia="Times New Roman" w:cstheme="minorHAnsi"/>
          <w:color w:val="333333"/>
          <w:sz w:val="24"/>
          <w:szCs w:val="24"/>
        </w:rPr>
        <w:t xml:space="preserve">they did </w:t>
      </w:r>
      <w:r w:rsidRPr="00392779">
        <w:rPr>
          <w:rFonts w:eastAsia="Times New Roman" w:cstheme="minorHAnsi"/>
          <w:color w:val="333333"/>
          <w:sz w:val="24"/>
          <w:szCs w:val="24"/>
          <w:u w:val="single"/>
        </w:rPr>
        <w:t xml:space="preserve">not </w:t>
      </w:r>
      <w:r w:rsidRPr="00392779">
        <w:rPr>
          <w:rFonts w:cstheme="minorHAnsi"/>
          <w:sz w:val="24"/>
          <w:szCs w:val="24"/>
        </w:rPr>
        <w:t xml:space="preserve">receive a Paycheck Protection Program Loan or Small Business Interruption Loan, </w:t>
      </w:r>
      <w:r w:rsidRPr="00392779">
        <w:rPr>
          <w:rFonts w:cstheme="minorHAnsi"/>
          <w:sz w:val="24"/>
          <w:szCs w:val="24"/>
          <w:u w:val="single"/>
        </w:rPr>
        <w:t xml:space="preserve">and </w:t>
      </w:r>
    </w:p>
    <w:p w:rsidR="002D5955" w:rsidRPr="00392779" w:rsidRDefault="002D5955" w:rsidP="002D5955">
      <w:pPr>
        <w:pStyle w:val="ListParagraph"/>
        <w:numPr>
          <w:ilvl w:val="0"/>
          <w:numId w:val="16"/>
        </w:numPr>
        <w:shd w:val="clear" w:color="auto" w:fill="FFFFFF"/>
        <w:spacing w:after="0" w:line="240" w:lineRule="auto"/>
        <w:ind w:left="720"/>
        <w:rPr>
          <w:rFonts w:eastAsia="Times New Roman" w:cstheme="minorHAnsi"/>
          <w:color w:val="333333"/>
          <w:sz w:val="24"/>
          <w:szCs w:val="24"/>
        </w:rPr>
      </w:pPr>
      <w:r w:rsidRPr="00392779">
        <w:rPr>
          <w:rFonts w:cstheme="minorHAnsi"/>
          <w:sz w:val="24"/>
          <w:szCs w:val="24"/>
        </w:rPr>
        <w:t>during the quarter for which they are seeking the credit, either:</w:t>
      </w:r>
    </w:p>
    <w:p w:rsidR="002D5955" w:rsidRPr="00392779" w:rsidRDefault="002D5955" w:rsidP="002D5955">
      <w:pPr>
        <w:numPr>
          <w:ilvl w:val="1"/>
          <w:numId w:val="16"/>
        </w:numPr>
        <w:shd w:val="clear" w:color="auto" w:fill="FFFFFF"/>
        <w:spacing w:before="100" w:beforeAutospacing="1" w:after="100" w:afterAutospacing="1"/>
        <w:ind w:left="1080"/>
        <w:rPr>
          <w:rFonts w:asciiTheme="minorHAnsi" w:hAnsiTheme="minorHAnsi" w:cstheme="minorHAnsi"/>
          <w:color w:val="333333"/>
        </w:rPr>
      </w:pPr>
      <w:r w:rsidRPr="00392779">
        <w:rPr>
          <w:rFonts w:asciiTheme="minorHAnsi" w:hAnsiTheme="minorHAnsi" w:cstheme="minorHAnsi"/>
          <w:color w:val="333333"/>
        </w:rPr>
        <w:t xml:space="preserve">Their operations were fully or partially suspended as a result of orders from a governmental authority limiting commerce, travel, or group meetings due to COVID-19, </w:t>
      </w:r>
      <w:r w:rsidRPr="00392779">
        <w:rPr>
          <w:rFonts w:asciiTheme="minorHAnsi" w:hAnsiTheme="minorHAnsi" w:cstheme="minorHAnsi"/>
          <w:color w:val="333333"/>
          <w:u w:val="single"/>
        </w:rPr>
        <w:t>or</w:t>
      </w:r>
    </w:p>
    <w:p w:rsidR="002D5955" w:rsidRPr="00226DC8" w:rsidRDefault="002D5955" w:rsidP="002D5955">
      <w:pPr>
        <w:numPr>
          <w:ilvl w:val="1"/>
          <w:numId w:val="16"/>
        </w:numPr>
        <w:shd w:val="clear" w:color="auto" w:fill="FFFFFF"/>
        <w:ind w:left="1080"/>
        <w:rPr>
          <w:rFonts w:asciiTheme="minorHAnsi" w:hAnsiTheme="minorHAnsi" w:cstheme="minorHAnsi"/>
          <w:color w:val="333333"/>
        </w:rPr>
      </w:pPr>
      <w:r w:rsidRPr="00392779">
        <w:rPr>
          <w:rFonts w:asciiTheme="minorHAnsi" w:hAnsiTheme="minorHAnsi" w:cstheme="minorHAnsi"/>
          <w:color w:val="333333"/>
        </w:rPr>
        <w:t>Their gross receipts for the quarter were less than 50% of the gross receipts for the same calendar quarter in the prior year.</w:t>
      </w:r>
      <w:r w:rsidRPr="00772EBB">
        <w:rPr>
          <w:rFonts w:cstheme="minorHAnsi"/>
          <w:color w:val="333333"/>
        </w:rPr>
        <w:t xml:space="preserve"> </w:t>
      </w:r>
      <w:r w:rsidRPr="00226DC8">
        <w:rPr>
          <w:rFonts w:asciiTheme="minorHAnsi" w:hAnsiTheme="minorHAnsi" w:cstheme="minorHAnsi"/>
          <w:color w:val="333333"/>
        </w:rPr>
        <w:t>The employer will remain eligible for the credit until the quarter when their gross receipts equal 80% of the gross receipts for the same calendar quarter in 2019.</w:t>
      </w:r>
    </w:p>
    <w:p w:rsidR="002D5955" w:rsidRPr="00392779" w:rsidRDefault="002D5955" w:rsidP="002D5955">
      <w:pPr>
        <w:shd w:val="clear" w:color="auto" w:fill="FFFFFF"/>
        <w:rPr>
          <w:rFonts w:asciiTheme="minorHAnsi" w:hAnsiTheme="minorHAnsi" w:cstheme="minorHAnsi"/>
        </w:rPr>
      </w:pPr>
    </w:p>
    <w:p w:rsidR="002D5955" w:rsidRDefault="002D5955" w:rsidP="002D5955">
      <w:pPr>
        <w:shd w:val="clear" w:color="auto" w:fill="FFFFFF"/>
        <w:rPr>
          <w:rFonts w:asciiTheme="minorHAnsi" w:hAnsiTheme="minorHAnsi" w:cstheme="minorHAnsi"/>
          <w:i/>
          <w:iCs/>
        </w:rPr>
      </w:pPr>
      <w:r w:rsidRPr="00392779">
        <w:rPr>
          <w:rFonts w:asciiTheme="minorHAnsi" w:hAnsiTheme="minorHAnsi" w:cstheme="minorHAnsi"/>
          <w:i/>
          <w:iCs/>
          <w:u w:val="single"/>
        </w:rPr>
        <w:t>What is the net value of the credit?</w:t>
      </w:r>
      <w:r w:rsidRPr="00392779">
        <w:rPr>
          <w:rFonts w:asciiTheme="minorHAnsi" w:hAnsiTheme="minorHAnsi" w:cstheme="minorHAnsi"/>
          <w:i/>
          <w:iCs/>
        </w:rPr>
        <w:t xml:space="preserve">  </w:t>
      </w:r>
    </w:p>
    <w:p w:rsidR="002D5955" w:rsidRDefault="002D5955" w:rsidP="002D5955">
      <w:pPr>
        <w:shd w:val="clear" w:color="auto" w:fill="FFFFFF"/>
        <w:rPr>
          <w:rFonts w:asciiTheme="minorHAnsi" w:hAnsiTheme="minorHAnsi" w:cstheme="minorHAnsi"/>
          <w:color w:val="333333"/>
        </w:rPr>
      </w:pPr>
      <w:r w:rsidRPr="00392779">
        <w:rPr>
          <w:rFonts w:asciiTheme="minorHAnsi" w:hAnsiTheme="minorHAnsi" w:cstheme="minorHAnsi"/>
        </w:rPr>
        <w:t>An employer can receive a maximum credit of $5,000 for each eligible employee</w:t>
      </w:r>
      <w:r>
        <w:rPr>
          <w:rFonts w:asciiTheme="minorHAnsi" w:hAnsiTheme="minorHAnsi" w:cstheme="minorHAnsi"/>
        </w:rPr>
        <w:t xml:space="preserve"> during each qualifying quarter</w:t>
      </w:r>
      <w:r w:rsidRPr="00392779">
        <w:rPr>
          <w:rFonts w:asciiTheme="minorHAnsi" w:hAnsiTheme="minorHAnsi" w:cstheme="minorHAnsi"/>
        </w:rPr>
        <w:t xml:space="preserve">.  </w:t>
      </w:r>
      <w:r w:rsidRPr="00392779">
        <w:rPr>
          <w:rFonts w:asciiTheme="minorHAnsi" w:hAnsiTheme="minorHAnsi" w:cstheme="minorHAnsi"/>
          <w:color w:val="333333"/>
        </w:rPr>
        <w:t>The credit is equal to 50% of “qualified wages” paid to employees during a quarter, capped at $10,000 of “qualified wages.” The credit is available for wages paid from March 13 to December 31, 2020.</w:t>
      </w:r>
      <w:r>
        <w:rPr>
          <w:rFonts w:asciiTheme="minorHAnsi" w:hAnsiTheme="minorHAnsi" w:cstheme="minorHAnsi"/>
          <w:color w:val="333333"/>
        </w:rPr>
        <w:t xml:space="preserve">  </w:t>
      </w:r>
    </w:p>
    <w:p w:rsidR="002D5955" w:rsidRDefault="002D5955" w:rsidP="002D5955">
      <w:pPr>
        <w:shd w:val="clear" w:color="auto" w:fill="FFFFFF"/>
        <w:rPr>
          <w:rFonts w:asciiTheme="minorHAnsi" w:hAnsiTheme="minorHAnsi" w:cstheme="minorHAnsi"/>
          <w:color w:val="333333"/>
        </w:rPr>
      </w:pPr>
      <w:r w:rsidRPr="00392779">
        <w:rPr>
          <w:rFonts w:asciiTheme="minorHAnsi" w:hAnsiTheme="minorHAnsi" w:cstheme="minorHAnsi"/>
          <w:color w:val="333333"/>
        </w:rPr>
        <w:br/>
      </w:r>
      <w:r w:rsidRPr="00392779">
        <w:rPr>
          <w:rFonts w:asciiTheme="minorHAnsi" w:hAnsiTheme="minorHAnsi" w:cstheme="minorHAnsi"/>
          <w:i/>
          <w:iCs/>
          <w:color w:val="333333"/>
          <w:u w:val="single"/>
        </w:rPr>
        <w:t>What are “qualifying wages”?</w:t>
      </w:r>
      <w:r w:rsidRPr="00392779">
        <w:rPr>
          <w:rFonts w:asciiTheme="minorHAnsi" w:hAnsiTheme="minorHAnsi" w:cstheme="minorHAnsi"/>
          <w:b/>
          <w:bCs/>
          <w:i/>
          <w:iCs/>
          <w:color w:val="333333"/>
        </w:rPr>
        <w:t xml:space="preserve">  </w:t>
      </w:r>
    </w:p>
    <w:p w:rsidR="002D5955" w:rsidRPr="00392779" w:rsidRDefault="002D5955" w:rsidP="002D5955">
      <w:pPr>
        <w:shd w:val="clear" w:color="auto" w:fill="FFFFFF"/>
        <w:rPr>
          <w:rFonts w:asciiTheme="minorHAnsi" w:hAnsiTheme="minorHAnsi" w:cstheme="minorHAnsi"/>
          <w:color w:val="333333"/>
        </w:rPr>
      </w:pPr>
      <w:r w:rsidRPr="00392779">
        <w:rPr>
          <w:rFonts w:asciiTheme="minorHAnsi" w:hAnsiTheme="minorHAnsi" w:cstheme="minorHAnsi"/>
          <w:color w:val="333333"/>
        </w:rPr>
        <w:t>For employers with over 100 full-time employees, the tax credit is available only for wages paid to employees who are </w:t>
      </w:r>
      <w:r w:rsidRPr="00392779">
        <w:rPr>
          <w:rFonts w:asciiTheme="minorHAnsi" w:hAnsiTheme="minorHAnsi" w:cstheme="minorHAnsi"/>
          <w:b/>
          <w:bCs/>
          <w:i/>
          <w:iCs/>
          <w:color w:val="333333"/>
        </w:rPr>
        <w:t>not providing services</w:t>
      </w:r>
      <w:r w:rsidRPr="00392779">
        <w:rPr>
          <w:rFonts w:asciiTheme="minorHAnsi" w:hAnsiTheme="minorHAnsi" w:cstheme="minorHAnsi"/>
          <w:color w:val="333333"/>
        </w:rPr>
        <w:t> </w:t>
      </w:r>
      <w:r w:rsidRPr="00392779">
        <w:rPr>
          <w:rFonts w:asciiTheme="minorHAnsi" w:hAnsiTheme="minorHAnsi" w:cstheme="minorHAnsi"/>
        </w:rPr>
        <w:t>due to the suspension of operations or decline in gross receipts</w:t>
      </w:r>
      <w:r w:rsidRPr="00392779">
        <w:rPr>
          <w:rFonts w:asciiTheme="minorHAnsi" w:hAnsiTheme="minorHAnsi" w:cstheme="minorHAnsi"/>
          <w:color w:val="333333"/>
        </w:rPr>
        <w:t xml:space="preserve">.  </w:t>
      </w:r>
      <w:r>
        <w:rPr>
          <w:rFonts w:asciiTheme="minorHAnsi" w:hAnsiTheme="minorHAnsi" w:cstheme="minorHAnsi"/>
          <w:color w:val="333333"/>
        </w:rPr>
        <w:t xml:space="preserve"> “Not providing services” has not yet been defined, so it is unclear if staff who have been reassigned to different duties would qualify. “Qualified wages” include h</w:t>
      </w:r>
      <w:r w:rsidRPr="00392779">
        <w:rPr>
          <w:rFonts w:asciiTheme="minorHAnsi" w:hAnsiTheme="minorHAnsi" w:cstheme="minorHAnsi"/>
        </w:rPr>
        <w:t>ealth plan expenses</w:t>
      </w:r>
      <w:r>
        <w:rPr>
          <w:rFonts w:asciiTheme="minorHAnsi" w:hAnsiTheme="minorHAnsi" w:cstheme="minorHAnsi"/>
        </w:rPr>
        <w:t>, but not wages</w:t>
      </w:r>
      <w:r w:rsidRPr="00392779">
        <w:rPr>
          <w:rFonts w:asciiTheme="minorHAnsi" w:hAnsiTheme="minorHAnsi" w:cstheme="minorHAnsi"/>
        </w:rPr>
        <w:t xml:space="preserve"> for which </w:t>
      </w:r>
      <w:r>
        <w:rPr>
          <w:rFonts w:asciiTheme="minorHAnsi" w:hAnsiTheme="minorHAnsi" w:cstheme="minorHAnsi"/>
        </w:rPr>
        <w:t xml:space="preserve">an </w:t>
      </w:r>
      <w:r w:rsidRPr="00392779">
        <w:rPr>
          <w:rFonts w:asciiTheme="minorHAnsi" w:hAnsiTheme="minorHAnsi" w:cstheme="minorHAnsi"/>
        </w:rPr>
        <w:t xml:space="preserve">employer </w:t>
      </w:r>
      <w:r>
        <w:rPr>
          <w:rFonts w:asciiTheme="minorHAnsi" w:hAnsiTheme="minorHAnsi" w:cstheme="minorHAnsi"/>
        </w:rPr>
        <w:t xml:space="preserve">is taking another tax credit (e.g., tax </w:t>
      </w:r>
      <w:r w:rsidRPr="00392779">
        <w:rPr>
          <w:rFonts w:asciiTheme="minorHAnsi" w:hAnsiTheme="minorHAnsi" w:cstheme="minorHAnsi"/>
        </w:rPr>
        <w:t>credit for sick or family leave under FFCRA.</w:t>
      </w:r>
      <w:r>
        <w:rPr>
          <w:rFonts w:asciiTheme="minorHAnsi" w:hAnsiTheme="minorHAnsi" w:cstheme="minorHAnsi"/>
        </w:rPr>
        <w:t>)</w:t>
      </w:r>
    </w:p>
    <w:p w:rsidR="002D5955" w:rsidRDefault="002D5955" w:rsidP="002D5955">
      <w:pPr>
        <w:shd w:val="clear" w:color="auto" w:fill="FFFFFF"/>
        <w:rPr>
          <w:rFonts w:asciiTheme="minorHAnsi" w:hAnsiTheme="minorHAnsi" w:cstheme="minorHAnsi"/>
          <w:color w:val="333333"/>
        </w:rPr>
      </w:pPr>
      <w:r w:rsidRPr="00392779">
        <w:rPr>
          <w:rFonts w:asciiTheme="minorHAnsi" w:hAnsiTheme="minorHAnsi" w:cstheme="minorHAnsi"/>
          <w:color w:val="333333"/>
        </w:rPr>
        <w:br/>
      </w:r>
      <w:r w:rsidRPr="000E1DBF">
        <w:rPr>
          <w:rFonts w:asciiTheme="minorHAnsi" w:hAnsiTheme="minorHAnsi" w:cstheme="minorHAnsi"/>
          <w:i/>
          <w:iCs/>
          <w:color w:val="333333"/>
          <w:u w:val="single"/>
        </w:rPr>
        <w:t>How to claim the credit</w:t>
      </w:r>
      <w:r w:rsidRPr="000E1DBF">
        <w:rPr>
          <w:rFonts w:asciiTheme="minorHAnsi" w:hAnsiTheme="minorHAnsi" w:cstheme="minorHAnsi"/>
          <w:color w:val="333333"/>
          <w:u w:val="single"/>
        </w:rPr>
        <w:t>?</w:t>
      </w:r>
      <w:r w:rsidRPr="00392779">
        <w:rPr>
          <w:rFonts w:asciiTheme="minorHAnsi" w:hAnsiTheme="minorHAnsi" w:cstheme="minorHAnsi"/>
          <w:color w:val="333333"/>
        </w:rPr>
        <w:t xml:space="preserve">  </w:t>
      </w:r>
    </w:p>
    <w:p w:rsidR="002D5955" w:rsidRPr="000E1DBF" w:rsidRDefault="002D5955" w:rsidP="002D5955">
      <w:pPr>
        <w:shd w:val="clear" w:color="auto" w:fill="FFFFFF"/>
        <w:rPr>
          <w:rFonts w:asciiTheme="minorHAnsi" w:hAnsiTheme="minorHAnsi" w:cstheme="minorHAnsi"/>
          <w:i/>
          <w:iCs/>
          <w:color w:val="333333"/>
          <w:u w:val="single"/>
        </w:rPr>
      </w:pPr>
      <w:r w:rsidRPr="00392779">
        <w:rPr>
          <w:rFonts w:asciiTheme="minorHAnsi" w:hAnsiTheme="minorHAnsi" w:cstheme="minorHAnsi"/>
          <w:color w:val="333333"/>
        </w:rPr>
        <w:t>Per IR 2020-62 (dated March 31, 2020), employers can immediately recoup their refundable tax credits by reducing their total federal tax deposit amount from </w:t>
      </w:r>
      <w:r w:rsidRPr="00392779">
        <w:rPr>
          <w:rFonts w:asciiTheme="minorHAnsi" w:hAnsiTheme="minorHAnsi" w:cstheme="minorHAnsi"/>
          <w:b/>
          <w:bCs/>
          <w:i/>
          <w:iCs/>
          <w:color w:val="333333"/>
        </w:rPr>
        <w:t>all</w:t>
      </w:r>
      <w:r w:rsidRPr="00392779">
        <w:rPr>
          <w:rFonts w:asciiTheme="minorHAnsi" w:hAnsiTheme="minorHAnsi" w:cstheme="minorHAnsi"/>
          <w:color w:val="333333"/>
        </w:rPr>
        <w:t> employees (not just from those who are receiving wages that qualify for the credit) by the amount of eligible credit. Specifically, employers can deduct the amount of tax credit from: (1) federal income taxes withheld from all employees’ pay; (2) the employees’ share of Social Security and Medicare taxes; and (3) the employer’s share of Social Security and Medicare taxes. These credits will ultimately be reconciled against the total tax liabilities when employers file their quarterly Form 941 or other employment tax returns.</w:t>
      </w:r>
      <w:r w:rsidRPr="00392779">
        <w:rPr>
          <w:rFonts w:asciiTheme="minorHAnsi" w:hAnsiTheme="minorHAnsi" w:cstheme="minorHAnsi"/>
          <w:color w:val="333333"/>
        </w:rPr>
        <w:br/>
      </w:r>
    </w:p>
    <w:p w:rsidR="002D5955" w:rsidRDefault="002D5955" w:rsidP="002D5955">
      <w:pPr>
        <w:shd w:val="clear" w:color="auto" w:fill="FFFFFF"/>
        <w:rPr>
          <w:rFonts w:asciiTheme="minorHAnsi" w:hAnsiTheme="minorHAnsi" w:cstheme="minorHAnsi"/>
          <w:color w:val="333333"/>
        </w:rPr>
      </w:pPr>
      <w:r w:rsidRPr="000E1DBF">
        <w:rPr>
          <w:rFonts w:asciiTheme="minorHAnsi" w:hAnsiTheme="minorHAnsi" w:cstheme="minorHAnsi"/>
          <w:i/>
          <w:iCs/>
          <w:color w:val="333333"/>
          <w:u w:val="single"/>
        </w:rPr>
        <w:t>Is there a faster way to get the credit?</w:t>
      </w:r>
      <w:r w:rsidRPr="000E1DBF">
        <w:rPr>
          <w:rFonts w:asciiTheme="minorHAnsi" w:hAnsiTheme="minorHAnsi" w:cstheme="minorHAnsi"/>
          <w:color w:val="333333"/>
        </w:rPr>
        <w:t xml:space="preserve">  </w:t>
      </w:r>
    </w:p>
    <w:p w:rsidR="002D5955" w:rsidRDefault="002D5955" w:rsidP="002D5955">
      <w:pPr>
        <w:shd w:val="clear" w:color="auto" w:fill="FFFFFF"/>
        <w:rPr>
          <w:rFonts w:asciiTheme="minorHAnsi" w:hAnsiTheme="minorHAnsi" w:cstheme="minorHAnsi"/>
          <w:sz w:val="22"/>
          <w:szCs w:val="22"/>
        </w:rPr>
      </w:pPr>
      <w:r w:rsidRPr="00392779">
        <w:rPr>
          <w:rFonts w:asciiTheme="minorHAnsi" w:hAnsiTheme="minorHAnsi" w:cstheme="minorHAnsi"/>
          <w:color w:val="333333"/>
        </w:rPr>
        <w:t xml:space="preserve">Perhaps.  </w:t>
      </w:r>
      <w:bookmarkStart w:id="4" w:name="_Hlk37010677"/>
      <w:r w:rsidRPr="00392779">
        <w:rPr>
          <w:rFonts w:asciiTheme="minorHAnsi" w:hAnsiTheme="minorHAnsi" w:cstheme="minorHAnsi"/>
          <w:color w:val="333333"/>
        </w:rPr>
        <w:t xml:space="preserve">Employers can request an advance on these credits by using the new </w:t>
      </w:r>
      <w:hyperlink r:id="rId34" w:tgtFrame="_blank" w:history="1">
        <w:r w:rsidRPr="00392779">
          <w:rPr>
            <w:rFonts w:asciiTheme="minorHAnsi" w:hAnsiTheme="minorHAnsi" w:cstheme="minorHAnsi"/>
            <w:color w:val="428BCA"/>
            <w:u w:val="single"/>
          </w:rPr>
          <w:t>Form 7200</w:t>
        </w:r>
      </w:hyperlink>
      <w:r w:rsidRPr="00392779">
        <w:rPr>
          <w:rFonts w:asciiTheme="minorHAnsi" w:hAnsiTheme="minorHAnsi" w:cstheme="minorHAnsi"/>
          <w:color w:val="333333"/>
        </w:rPr>
        <w:t>, Advance Payment of Employer Credits Due to COVID-19</w:t>
      </w:r>
      <w:bookmarkEnd w:id="4"/>
      <w:r w:rsidRPr="00392779">
        <w:rPr>
          <w:rFonts w:asciiTheme="minorHAnsi" w:hAnsiTheme="minorHAnsi" w:cstheme="minorHAnsi"/>
          <w:color w:val="333333"/>
        </w:rPr>
        <w:t xml:space="preserve">.  The IRS is supposed to process the advances within two weeks of receiving  a Form 7200.  However, the IRS’ system does not yet appear to be fully operational, and it is unclear when it will be up and running.  To maximize cash on hand, health centers should consider whether they might be better off offsetting their accumulated tax credits from their upcoming payroll deposits, or requesting an advance on </w:t>
      </w:r>
      <w:hyperlink r:id="rId35" w:tgtFrame="_blank" w:history="1">
        <w:r w:rsidRPr="00392779">
          <w:rPr>
            <w:rFonts w:asciiTheme="minorHAnsi" w:hAnsiTheme="minorHAnsi" w:cstheme="minorHAnsi"/>
            <w:color w:val="428BCA"/>
            <w:u w:val="single"/>
          </w:rPr>
          <w:t>Form 7200</w:t>
        </w:r>
      </w:hyperlink>
      <w:r w:rsidRPr="00392779">
        <w:rPr>
          <w:rFonts w:asciiTheme="minorHAnsi" w:hAnsiTheme="minorHAnsi" w:cstheme="minorHAnsi"/>
          <w:color w:val="333333"/>
        </w:rPr>
        <w:t>.</w:t>
      </w:r>
      <w:r>
        <w:rPr>
          <w:rFonts w:asciiTheme="minorHAnsi" w:hAnsiTheme="minorHAnsi" w:cstheme="minorHAnsi"/>
          <w:sz w:val="22"/>
          <w:szCs w:val="22"/>
        </w:rPr>
        <w:br w:type="page"/>
      </w:r>
    </w:p>
    <w:p w:rsidR="002D5955" w:rsidRDefault="002D5955" w:rsidP="002D5955">
      <w:pPr>
        <w:pStyle w:val="Heading1"/>
      </w:pPr>
      <w:r>
        <w:lastRenderedPageBreak/>
        <w:t>Deferral of Employer Share of Social Security Taxes</w:t>
      </w:r>
    </w:p>
    <w:p w:rsidR="002D5955" w:rsidRDefault="002D5955" w:rsidP="002D5955">
      <w:pPr>
        <w:shd w:val="clear" w:color="auto" w:fill="FFFFFF"/>
        <w:rPr>
          <w:rFonts w:asciiTheme="minorHAnsi" w:hAnsiTheme="minorHAnsi" w:cstheme="minorHAnsi"/>
          <w:sz w:val="22"/>
          <w:szCs w:val="22"/>
        </w:rPr>
      </w:pPr>
    </w:p>
    <w:p w:rsidR="002D5955" w:rsidRPr="0096427E" w:rsidRDefault="002D5955" w:rsidP="002D5955">
      <w:pPr>
        <w:shd w:val="clear" w:color="auto" w:fill="FFFFFF"/>
        <w:rPr>
          <w:rFonts w:asciiTheme="minorHAnsi" w:hAnsiTheme="minorHAnsi" w:cstheme="minorHAnsi"/>
          <w:color w:val="333333"/>
        </w:rPr>
      </w:pPr>
      <w:r w:rsidRPr="0096427E">
        <w:rPr>
          <w:rFonts w:asciiTheme="minorHAnsi" w:hAnsiTheme="minorHAnsi" w:cstheme="minorHAnsi"/>
          <w:color w:val="333333"/>
        </w:rPr>
        <w:t>Section 2302 of the CARES Act allows employers to defer payment of the employer portion of Social Security taxes that would otherwise be due from March 27 through December 31, 2020, without penalty or interest charges.  Employers must pay 50% of the deferred amount by December 31, 2021, and the remainder by December 31, 2022</w:t>
      </w:r>
    </w:p>
    <w:p w:rsidR="002D5955" w:rsidRDefault="002D5955" w:rsidP="002D5955">
      <w:pPr>
        <w:shd w:val="clear" w:color="auto" w:fill="FFFFFF"/>
        <w:rPr>
          <w:rFonts w:asciiTheme="minorHAnsi" w:hAnsiTheme="minorHAnsi" w:cstheme="minorHAnsi"/>
          <w:i/>
          <w:iCs/>
          <w:color w:val="333333"/>
          <w:u w:val="single"/>
        </w:rPr>
      </w:pPr>
    </w:p>
    <w:p w:rsidR="002D5955" w:rsidRDefault="002D5955" w:rsidP="002D5955">
      <w:pPr>
        <w:shd w:val="clear" w:color="auto" w:fill="FFFFFF"/>
        <w:rPr>
          <w:rFonts w:asciiTheme="minorHAnsi" w:hAnsiTheme="minorHAnsi" w:cstheme="minorHAnsi"/>
          <w:i/>
          <w:iCs/>
          <w:color w:val="333333"/>
          <w:u w:val="single"/>
        </w:rPr>
      </w:pPr>
    </w:p>
    <w:p w:rsidR="002D5955" w:rsidRPr="00392779" w:rsidRDefault="002D5955" w:rsidP="002D5955">
      <w:pPr>
        <w:shd w:val="clear" w:color="auto" w:fill="FFFFFF"/>
        <w:rPr>
          <w:rFonts w:asciiTheme="minorHAnsi" w:hAnsiTheme="minorHAnsi" w:cstheme="minorHAnsi"/>
          <w:i/>
          <w:iCs/>
          <w:color w:val="333333"/>
        </w:rPr>
      </w:pPr>
      <w:r w:rsidRPr="00392779">
        <w:rPr>
          <w:rFonts w:asciiTheme="minorHAnsi" w:hAnsiTheme="minorHAnsi" w:cstheme="minorHAnsi"/>
          <w:i/>
          <w:iCs/>
          <w:color w:val="333333"/>
          <w:u w:val="single"/>
        </w:rPr>
        <w:t>Who is eligible?</w:t>
      </w:r>
      <w:r w:rsidRPr="00392779">
        <w:rPr>
          <w:rFonts w:asciiTheme="minorHAnsi" w:hAnsiTheme="minorHAnsi" w:cstheme="minorHAnsi"/>
          <w:i/>
          <w:iCs/>
          <w:color w:val="333333"/>
        </w:rPr>
        <w:t xml:space="preserve">  </w:t>
      </w:r>
    </w:p>
    <w:p w:rsidR="002D5955" w:rsidRDefault="002D5955" w:rsidP="002D5955">
      <w:pPr>
        <w:shd w:val="clear" w:color="auto" w:fill="FFFFFF"/>
        <w:rPr>
          <w:rFonts w:asciiTheme="minorHAnsi" w:hAnsiTheme="minorHAnsi" w:cstheme="minorHAnsi"/>
          <w:color w:val="333333"/>
        </w:rPr>
      </w:pPr>
      <w:r w:rsidRPr="00392779">
        <w:rPr>
          <w:rFonts w:asciiTheme="minorHAnsi" w:hAnsiTheme="minorHAnsi" w:cstheme="minorHAnsi"/>
          <w:color w:val="333333"/>
        </w:rPr>
        <w:t xml:space="preserve">All employers are eligible </w:t>
      </w:r>
      <w:r>
        <w:rPr>
          <w:rFonts w:asciiTheme="minorHAnsi" w:hAnsiTheme="minorHAnsi" w:cstheme="minorHAnsi"/>
          <w:color w:val="333333"/>
        </w:rPr>
        <w:t xml:space="preserve">for this deferral, for all of their employees.  (However, employers who also receive a Paycheck Protection Program loan may lose the ability to defer these payments if their PPP loan is forgiven.)  </w:t>
      </w:r>
    </w:p>
    <w:p w:rsidR="002D5955" w:rsidRDefault="002D5955" w:rsidP="002D5955">
      <w:pPr>
        <w:shd w:val="clear" w:color="auto" w:fill="FFFFFF"/>
        <w:rPr>
          <w:rFonts w:asciiTheme="minorHAnsi" w:hAnsiTheme="minorHAnsi" w:cstheme="minorHAnsi"/>
        </w:rPr>
      </w:pPr>
    </w:p>
    <w:p w:rsidR="002D5955" w:rsidRDefault="002D5955" w:rsidP="002D5955">
      <w:pPr>
        <w:shd w:val="clear" w:color="auto" w:fill="FFFFFF"/>
        <w:rPr>
          <w:rFonts w:asciiTheme="minorHAnsi" w:hAnsiTheme="minorHAnsi" w:cstheme="minorHAnsi"/>
        </w:rPr>
      </w:pPr>
      <w:r>
        <w:rPr>
          <w:rFonts w:asciiTheme="minorHAnsi" w:hAnsiTheme="minorHAnsi" w:cstheme="minorHAnsi"/>
          <w:i/>
          <w:iCs/>
          <w:u w:val="single"/>
        </w:rPr>
        <w:t>Is this a tax credit, or just an extension of the due date?</w:t>
      </w:r>
      <w:r>
        <w:rPr>
          <w:rFonts w:asciiTheme="minorHAnsi" w:hAnsiTheme="minorHAnsi" w:cstheme="minorHAnsi"/>
        </w:rPr>
        <w:t xml:space="preserve">  Simply an interest-free and penalty-free extension of the due date.  All taxes owed must eventually be paid.  </w:t>
      </w:r>
    </w:p>
    <w:p w:rsidR="002D5955" w:rsidRDefault="002D5955" w:rsidP="002D5955">
      <w:pPr>
        <w:shd w:val="clear" w:color="auto" w:fill="FFFFFF"/>
        <w:rPr>
          <w:rFonts w:asciiTheme="minorHAnsi" w:hAnsiTheme="minorHAnsi" w:cstheme="minorHAnsi"/>
        </w:rPr>
      </w:pPr>
    </w:p>
    <w:p w:rsidR="002D5955" w:rsidRDefault="002D5955" w:rsidP="002D5955">
      <w:pPr>
        <w:shd w:val="clear" w:color="auto" w:fill="FFFFFF"/>
        <w:rPr>
          <w:rFonts w:asciiTheme="minorHAnsi" w:hAnsiTheme="minorHAnsi" w:cstheme="minorHAnsi"/>
          <w:i/>
          <w:iCs/>
          <w:u w:val="single"/>
        </w:rPr>
      </w:pPr>
      <w:r>
        <w:rPr>
          <w:rFonts w:asciiTheme="minorHAnsi" w:hAnsiTheme="minorHAnsi" w:cstheme="minorHAnsi"/>
          <w:i/>
          <w:iCs/>
          <w:u w:val="single"/>
        </w:rPr>
        <w:t>Which taxes can we defer?</w:t>
      </w:r>
    </w:p>
    <w:p w:rsidR="002D5955" w:rsidRPr="000B5EEC" w:rsidRDefault="002D5955" w:rsidP="002D5955">
      <w:pPr>
        <w:shd w:val="clear" w:color="auto" w:fill="FFFFFF"/>
        <w:rPr>
          <w:rFonts w:asciiTheme="minorHAnsi" w:hAnsiTheme="minorHAnsi" w:cstheme="minorHAnsi"/>
          <w:i/>
          <w:iCs/>
          <w:u w:val="single"/>
        </w:rPr>
      </w:pPr>
      <w:r>
        <w:rPr>
          <w:rFonts w:asciiTheme="minorHAnsi" w:hAnsiTheme="minorHAnsi" w:cstheme="minorHAnsi"/>
          <w:color w:val="333333"/>
        </w:rPr>
        <w:t xml:space="preserve">You can defer the </w:t>
      </w:r>
      <w:r w:rsidRPr="0096427E">
        <w:rPr>
          <w:rFonts w:asciiTheme="minorHAnsi" w:hAnsiTheme="minorHAnsi" w:cstheme="minorHAnsi"/>
          <w:color w:val="333333"/>
        </w:rPr>
        <w:t>employer portion of Social Security taxes that would otherwise be due from March 27 through December 31, 2020</w:t>
      </w:r>
      <w:r>
        <w:rPr>
          <w:rFonts w:asciiTheme="minorHAnsi" w:hAnsiTheme="minorHAnsi" w:cstheme="minorHAnsi"/>
          <w:color w:val="333333"/>
        </w:rPr>
        <w:t xml:space="preserve">, without incurring penalties or interest charges.  </w:t>
      </w:r>
    </w:p>
    <w:p w:rsidR="002D5955" w:rsidRPr="00383980" w:rsidRDefault="002D5955" w:rsidP="002D5955">
      <w:pPr>
        <w:shd w:val="clear" w:color="auto" w:fill="FFFFFF"/>
        <w:rPr>
          <w:rFonts w:asciiTheme="minorHAnsi" w:hAnsiTheme="minorHAnsi" w:cstheme="minorHAnsi"/>
        </w:rPr>
      </w:pPr>
    </w:p>
    <w:p w:rsidR="002D5955" w:rsidRDefault="002D5955" w:rsidP="002D5955">
      <w:pPr>
        <w:shd w:val="clear" w:color="auto" w:fill="FFFFFF"/>
        <w:rPr>
          <w:rFonts w:asciiTheme="minorHAnsi" w:hAnsiTheme="minorHAnsi" w:cstheme="minorHAnsi"/>
          <w:i/>
          <w:iCs/>
        </w:rPr>
      </w:pPr>
      <w:r>
        <w:rPr>
          <w:rFonts w:asciiTheme="minorHAnsi" w:hAnsiTheme="minorHAnsi" w:cstheme="minorHAnsi"/>
          <w:i/>
          <w:iCs/>
          <w:u w:val="single"/>
        </w:rPr>
        <w:t>How long is the due date extended for</w:t>
      </w:r>
      <w:r w:rsidRPr="00392779">
        <w:rPr>
          <w:rFonts w:asciiTheme="minorHAnsi" w:hAnsiTheme="minorHAnsi" w:cstheme="minorHAnsi"/>
          <w:i/>
          <w:iCs/>
          <w:u w:val="single"/>
        </w:rPr>
        <w:t>?</w:t>
      </w:r>
      <w:r w:rsidRPr="00392779">
        <w:rPr>
          <w:rFonts w:asciiTheme="minorHAnsi" w:hAnsiTheme="minorHAnsi" w:cstheme="minorHAnsi"/>
          <w:i/>
          <w:iCs/>
        </w:rPr>
        <w:t xml:space="preserve">  </w:t>
      </w:r>
    </w:p>
    <w:p w:rsidR="002D5955" w:rsidRPr="00626809" w:rsidRDefault="002D5955" w:rsidP="002D5955">
      <w:pPr>
        <w:shd w:val="clear" w:color="auto" w:fill="FFFFFF"/>
        <w:rPr>
          <w:rFonts w:asciiTheme="minorHAnsi" w:hAnsiTheme="minorHAnsi" w:cstheme="minorHAnsi"/>
          <w:color w:val="333333"/>
        </w:rPr>
      </w:pPr>
      <w:r w:rsidRPr="00626809">
        <w:rPr>
          <w:rFonts w:asciiTheme="minorHAnsi" w:hAnsiTheme="minorHAnsi" w:cstheme="minorHAnsi"/>
          <w:color w:val="333333"/>
        </w:rPr>
        <w:t>Health centers must pay:</w:t>
      </w:r>
    </w:p>
    <w:p w:rsidR="002D5955" w:rsidRPr="00626809" w:rsidRDefault="002D5955" w:rsidP="002D5955">
      <w:pPr>
        <w:pStyle w:val="ListParagraph"/>
        <w:numPr>
          <w:ilvl w:val="0"/>
          <w:numId w:val="17"/>
        </w:numPr>
        <w:shd w:val="clear" w:color="auto" w:fill="FFFFFF"/>
        <w:rPr>
          <w:rFonts w:cstheme="minorHAnsi"/>
          <w:color w:val="333333"/>
          <w:sz w:val="24"/>
          <w:szCs w:val="24"/>
        </w:rPr>
      </w:pPr>
      <w:r w:rsidRPr="00626809">
        <w:rPr>
          <w:rFonts w:cstheme="minorHAnsi"/>
          <w:color w:val="333333"/>
          <w:sz w:val="24"/>
          <w:szCs w:val="24"/>
        </w:rPr>
        <w:t xml:space="preserve">50% of the deferred amount by December 31, 2021, and </w:t>
      </w:r>
    </w:p>
    <w:p w:rsidR="002D5955" w:rsidRPr="00626809" w:rsidRDefault="002D5955" w:rsidP="002D5955">
      <w:pPr>
        <w:pStyle w:val="ListParagraph"/>
        <w:numPr>
          <w:ilvl w:val="0"/>
          <w:numId w:val="17"/>
        </w:numPr>
        <w:shd w:val="clear" w:color="auto" w:fill="FFFFFF"/>
        <w:rPr>
          <w:rFonts w:cstheme="minorHAnsi"/>
          <w:color w:val="333333"/>
          <w:sz w:val="24"/>
          <w:szCs w:val="24"/>
        </w:rPr>
      </w:pPr>
      <w:r w:rsidRPr="00626809">
        <w:rPr>
          <w:rFonts w:cstheme="minorHAnsi"/>
          <w:color w:val="333333"/>
          <w:sz w:val="24"/>
          <w:szCs w:val="24"/>
        </w:rPr>
        <w:t>the remaining 50% by December 31, 2022</w:t>
      </w:r>
      <w:r>
        <w:rPr>
          <w:rFonts w:cstheme="minorHAnsi"/>
          <w:color w:val="333333"/>
          <w:sz w:val="24"/>
          <w:szCs w:val="24"/>
        </w:rPr>
        <w:t>.</w:t>
      </w:r>
    </w:p>
    <w:p w:rsidR="002D5955" w:rsidRPr="00626809" w:rsidRDefault="002D5955" w:rsidP="002D5955">
      <w:pPr>
        <w:rPr>
          <w:rFonts w:cstheme="minorHAnsi"/>
          <w:i/>
          <w:iCs/>
          <w:color w:val="333333"/>
          <w:u w:val="single"/>
        </w:rPr>
      </w:pPr>
      <w:r w:rsidRPr="00626809">
        <w:rPr>
          <w:rFonts w:cstheme="minorHAnsi"/>
          <w:i/>
          <w:iCs/>
          <w:color w:val="333333"/>
          <w:u w:val="single"/>
        </w:rPr>
        <w:t>How does this provision interact with the $5,000 tax credit for employees who cannot “provide services”?</w:t>
      </w:r>
    </w:p>
    <w:p w:rsidR="002D5955" w:rsidRPr="00626809" w:rsidRDefault="002D5955" w:rsidP="002D5955">
      <w:pPr>
        <w:rPr>
          <w:rFonts w:asciiTheme="minorHAnsi" w:hAnsiTheme="minorHAnsi" w:cstheme="minorHAnsi"/>
          <w:color w:val="333333"/>
        </w:rPr>
      </w:pPr>
      <w:r>
        <w:rPr>
          <w:rFonts w:asciiTheme="minorHAnsi" w:hAnsiTheme="minorHAnsi" w:cstheme="minorHAnsi"/>
          <w:color w:val="333333"/>
        </w:rPr>
        <w:t xml:space="preserve">A lot of these details are not </w:t>
      </w:r>
      <w:r w:rsidRPr="00626809">
        <w:rPr>
          <w:rFonts w:asciiTheme="minorHAnsi" w:hAnsiTheme="minorHAnsi" w:cstheme="minorHAnsi"/>
          <w:color w:val="333333"/>
        </w:rPr>
        <w:t>yet clear</w:t>
      </w:r>
      <w:r>
        <w:rPr>
          <w:rFonts w:asciiTheme="minorHAnsi" w:hAnsiTheme="minorHAnsi" w:cstheme="minorHAnsi"/>
          <w:color w:val="333333"/>
        </w:rPr>
        <w:t xml:space="preserve">.  </w:t>
      </w:r>
      <w:r w:rsidRPr="00626809">
        <w:rPr>
          <w:rFonts w:asciiTheme="minorHAnsi" w:hAnsiTheme="minorHAnsi" w:cstheme="minorHAnsi"/>
          <w:color w:val="333333"/>
        </w:rPr>
        <w:t xml:space="preserve">At the moment, it appears that an employer could defer its deposit of payroll taxes that are otherwise due from March 13 to December 31, 2020 (using </w:t>
      </w:r>
      <w:r>
        <w:rPr>
          <w:rFonts w:asciiTheme="minorHAnsi" w:hAnsiTheme="minorHAnsi" w:cstheme="minorHAnsi"/>
          <w:color w:val="333333"/>
        </w:rPr>
        <w:t>this provision</w:t>
      </w:r>
      <w:r w:rsidRPr="00626809">
        <w:rPr>
          <w:rFonts w:asciiTheme="minorHAnsi" w:hAnsiTheme="minorHAnsi" w:cstheme="minorHAnsi"/>
          <w:color w:val="333333"/>
        </w:rPr>
        <w:t>) and offset against those un-remitted payroll taxes the employee retention credit (under Section 2301 of the CARES Act</w:t>
      </w:r>
      <w:r>
        <w:rPr>
          <w:rFonts w:asciiTheme="minorHAnsi" w:hAnsiTheme="minorHAnsi" w:cstheme="minorHAnsi"/>
          <w:color w:val="333333"/>
        </w:rPr>
        <w:t>.</w:t>
      </w:r>
      <w:r w:rsidRPr="00626809">
        <w:rPr>
          <w:rFonts w:asciiTheme="minorHAnsi" w:hAnsiTheme="minorHAnsi" w:cstheme="minorHAnsi"/>
          <w:color w:val="333333"/>
        </w:rPr>
        <w:t>)</w:t>
      </w:r>
      <w:r>
        <w:rPr>
          <w:rFonts w:asciiTheme="minorHAnsi" w:hAnsiTheme="minorHAnsi" w:cstheme="minorHAnsi"/>
          <w:color w:val="333333"/>
        </w:rPr>
        <w:t xml:space="preserve">  That would </w:t>
      </w:r>
      <w:r w:rsidRPr="00626809">
        <w:rPr>
          <w:rFonts w:asciiTheme="minorHAnsi" w:hAnsiTheme="minorHAnsi" w:cstheme="minorHAnsi"/>
          <w:color w:val="333333"/>
        </w:rPr>
        <w:t>reduce the amount that the employer would eventually need to remit (i.e., 50% of the net amount would be owed on December 31, 2021, and the remainder would be owed on December 31, 2022).</w:t>
      </w:r>
    </w:p>
    <w:p w:rsidR="002D5955" w:rsidRDefault="002D5955" w:rsidP="002D5955">
      <w:pPr>
        <w:rPr>
          <w:rFonts w:cstheme="minorHAnsi"/>
          <w:color w:val="333333"/>
        </w:rPr>
      </w:pPr>
    </w:p>
    <w:p w:rsidR="002D5955" w:rsidRDefault="002D5955" w:rsidP="002D5955">
      <w:pPr>
        <w:rPr>
          <w:rFonts w:asciiTheme="minorHAnsi" w:hAnsiTheme="minorHAnsi" w:cstheme="minorHAnsi"/>
          <w:color w:val="333333"/>
        </w:rPr>
      </w:pPr>
      <w:r w:rsidRPr="00FA541B">
        <w:rPr>
          <w:rFonts w:asciiTheme="minorHAnsi" w:hAnsiTheme="minorHAnsi" w:cstheme="minorHAnsi"/>
          <w:i/>
          <w:iCs/>
          <w:u w:val="single"/>
        </w:rPr>
        <w:t>Where can we get more information?</w:t>
      </w:r>
      <w:r w:rsidRPr="00FA541B">
        <w:rPr>
          <w:rFonts w:asciiTheme="minorHAnsi" w:hAnsiTheme="minorHAnsi" w:cstheme="minorHAnsi"/>
        </w:rPr>
        <w:t xml:space="preserve">  See</w:t>
      </w:r>
      <w:r>
        <w:rPr>
          <w:rFonts w:asciiTheme="minorHAnsi" w:hAnsiTheme="minorHAnsi" w:cstheme="minorHAnsi"/>
        </w:rPr>
        <w:t xml:space="preserve"> </w:t>
      </w:r>
      <w:hyperlink r:id="rId36" w:history="1">
        <w:r w:rsidRPr="00FA541B">
          <w:rPr>
            <w:rStyle w:val="Hyperlink"/>
            <w:rFonts w:asciiTheme="minorHAnsi" w:hAnsiTheme="minorHAnsi" w:cstheme="minorHAnsi"/>
          </w:rPr>
          <w:t>IRS Notice 2020-22</w:t>
        </w:r>
      </w:hyperlink>
      <w:r w:rsidRPr="00FA541B">
        <w:rPr>
          <w:rFonts w:asciiTheme="minorHAnsi" w:hAnsiTheme="minorHAnsi" w:cstheme="minorHAnsi"/>
          <w:color w:val="333333"/>
        </w:rPr>
        <w:t xml:space="preserve"> , dated</w:t>
      </w:r>
      <w:r w:rsidRPr="0096427E">
        <w:rPr>
          <w:rFonts w:asciiTheme="minorHAnsi" w:hAnsiTheme="minorHAnsi" w:cstheme="minorHAnsi"/>
          <w:color w:val="333333"/>
        </w:rPr>
        <w:t xml:space="preserve"> March 31, 2020</w:t>
      </w:r>
      <w:r>
        <w:rPr>
          <w:rFonts w:asciiTheme="minorHAnsi" w:hAnsiTheme="minorHAnsi" w:cstheme="minorHAnsi"/>
          <w:color w:val="333333"/>
        </w:rPr>
        <w:t>.</w:t>
      </w:r>
    </w:p>
    <w:p w:rsidR="002D5955" w:rsidRDefault="002D5955" w:rsidP="002D5955">
      <w:pPr>
        <w:rPr>
          <w:rFonts w:asciiTheme="minorHAnsi" w:hAnsiTheme="minorHAnsi" w:cstheme="minorHAnsi"/>
          <w:color w:val="333333"/>
        </w:rPr>
      </w:pPr>
      <w:r>
        <w:rPr>
          <w:rFonts w:asciiTheme="minorHAnsi" w:hAnsiTheme="minorHAnsi" w:cstheme="minorHAnsi"/>
          <w:color w:val="333333"/>
        </w:rPr>
        <w:br w:type="page"/>
      </w:r>
    </w:p>
    <w:p w:rsidR="002D5955" w:rsidRDefault="002D5955" w:rsidP="002D5955">
      <w:pPr>
        <w:pBdr>
          <w:left w:val="none" w:sz="0" w:space="7" w:color="auto"/>
        </w:pBdr>
        <w:rPr>
          <w:rFonts w:ascii="Calibri" w:eastAsia="Calibri" w:hAnsi="Calibri" w:cs="Calibri"/>
          <w:b/>
          <w:bCs/>
          <w:sz w:val="28"/>
          <w:szCs w:val="28"/>
        </w:rPr>
      </w:pPr>
    </w:p>
    <w:p w:rsidR="002D5955" w:rsidRDefault="002D5955" w:rsidP="002D5955">
      <w:pPr>
        <w:pStyle w:val="Heading1"/>
      </w:pPr>
      <w:r>
        <w:t>Accelerated Medicare Payments</w:t>
      </w:r>
    </w:p>
    <w:p w:rsidR="002D5955" w:rsidRDefault="002D5955" w:rsidP="002D5955">
      <w:pPr>
        <w:pStyle w:val="Heading1"/>
      </w:pPr>
    </w:p>
    <w:p w:rsidR="002D5955" w:rsidRDefault="002D5955" w:rsidP="002D5955">
      <w:pPr>
        <w:pStyle w:val="NormalWeb"/>
        <w:spacing w:before="0" w:beforeAutospacing="0" w:after="150" w:afterAutospacing="0"/>
        <w:rPr>
          <w:rStyle w:val="Emphasis"/>
          <w:rFonts w:ascii="Helvetica" w:hAnsi="Helvetica"/>
          <w:b/>
          <w:bCs/>
          <w:color w:val="333333"/>
          <w:sz w:val="21"/>
          <w:szCs w:val="21"/>
          <w:u w:val="single"/>
        </w:rPr>
      </w:pPr>
    </w:p>
    <w:p w:rsidR="002D5955" w:rsidRPr="00B801C7" w:rsidRDefault="002D5955" w:rsidP="002D5955">
      <w:r w:rsidRPr="002D5955">
        <w:rPr>
          <w:rFonts w:ascii="Calibri" w:eastAsia="Calibri" w:hAnsi="Calibri" w:cs="Calibri"/>
          <w:i/>
          <w:iCs/>
          <w:u w:val="single"/>
        </w:rPr>
        <w:t>Who qualifies?</w:t>
      </w:r>
      <w:r w:rsidRPr="00B801C7">
        <w:rPr>
          <w:rFonts w:ascii="Calibri" w:eastAsia="Calibri" w:hAnsi="Calibri" w:cs="Calibri"/>
        </w:rPr>
        <w:t xml:space="preserve">  All health centers that have billed Medicare within the past six months.  </w:t>
      </w:r>
    </w:p>
    <w:p w:rsidR="002D5955" w:rsidRPr="00B801C7" w:rsidRDefault="002D5955" w:rsidP="002D5955">
      <w:pPr>
        <w:pStyle w:val="NormalWeb"/>
        <w:spacing w:before="0" w:beforeAutospacing="0" w:after="150" w:afterAutospacing="0"/>
        <w:rPr>
          <w:rFonts w:ascii="Helvetica" w:hAnsi="Helvetica"/>
          <w:sz w:val="21"/>
          <w:szCs w:val="21"/>
        </w:rPr>
      </w:pPr>
    </w:p>
    <w:p w:rsidR="002D5955" w:rsidRPr="002D5955" w:rsidRDefault="002D5955" w:rsidP="002D5955">
      <w:pPr>
        <w:pBdr>
          <w:left w:val="none" w:sz="0" w:space="7" w:color="auto"/>
        </w:pBdr>
        <w:rPr>
          <w:rFonts w:ascii="Calibri" w:eastAsia="Calibri" w:hAnsi="Calibri" w:cs="Calibri"/>
          <w:i/>
          <w:iCs/>
          <w:u w:val="single"/>
        </w:rPr>
      </w:pPr>
      <w:r w:rsidRPr="002D5955">
        <w:rPr>
          <w:rFonts w:ascii="Calibri" w:eastAsia="Calibri" w:hAnsi="Calibri" w:cs="Calibri"/>
          <w:i/>
          <w:iCs/>
          <w:u w:val="single"/>
        </w:rPr>
        <w:t xml:space="preserve">What are the terms? </w:t>
      </w:r>
    </w:p>
    <w:p w:rsidR="002D5955" w:rsidRPr="00B801C7" w:rsidRDefault="002D5955" w:rsidP="002D5955">
      <w:pPr>
        <w:pStyle w:val="ListParagraph"/>
        <w:numPr>
          <w:ilvl w:val="0"/>
          <w:numId w:val="9"/>
        </w:numPr>
        <w:pBdr>
          <w:left w:val="none" w:sz="0" w:space="7" w:color="auto"/>
        </w:pBdr>
        <w:rPr>
          <w:rStyle w:val="Emphasis"/>
          <w:rFonts w:ascii="Calibri" w:eastAsia="Calibri" w:hAnsi="Calibri" w:cs="Calibri"/>
          <w:i w:val="0"/>
          <w:iCs w:val="0"/>
          <w:u w:val="single"/>
        </w:rPr>
      </w:pPr>
      <w:r w:rsidRPr="00B801C7">
        <w:rPr>
          <w:rStyle w:val="Emphasis"/>
          <w:rFonts w:ascii="Helvetica" w:hAnsi="Helvetica"/>
          <w:i w:val="0"/>
          <w:iCs w:val="0"/>
          <w:sz w:val="21"/>
          <w:szCs w:val="21"/>
        </w:rPr>
        <w:t xml:space="preserve">FQHCs can receive up to </w:t>
      </w:r>
      <w:r>
        <w:rPr>
          <w:rStyle w:val="Emphasis"/>
          <w:rFonts w:ascii="Helvetica" w:hAnsi="Helvetica"/>
          <w:i w:val="0"/>
          <w:iCs w:val="0"/>
          <w:sz w:val="21"/>
          <w:szCs w:val="21"/>
        </w:rPr>
        <w:t xml:space="preserve">three months’ worth of their average Medicare revenues in advance.  </w:t>
      </w:r>
    </w:p>
    <w:p w:rsidR="002D5955" w:rsidRPr="00B801C7" w:rsidRDefault="002D5955" w:rsidP="002D5955">
      <w:pPr>
        <w:pStyle w:val="ListParagraph"/>
        <w:numPr>
          <w:ilvl w:val="0"/>
          <w:numId w:val="9"/>
        </w:numPr>
        <w:pBdr>
          <w:left w:val="none" w:sz="0" w:space="7" w:color="auto"/>
        </w:pBdr>
        <w:rPr>
          <w:rFonts w:ascii="Calibri" w:eastAsia="Calibri" w:hAnsi="Calibri" w:cs="Calibri"/>
          <w:u w:val="single"/>
        </w:rPr>
      </w:pPr>
      <w:r w:rsidRPr="00B801C7">
        <w:rPr>
          <w:rStyle w:val="Emphasis"/>
          <w:rFonts w:ascii="Helvetica" w:hAnsi="Helvetica"/>
          <w:i w:val="0"/>
          <w:iCs w:val="0"/>
          <w:sz w:val="21"/>
          <w:szCs w:val="21"/>
        </w:rPr>
        <w:t>Funds should be received within seven calendar days of submitting a request to your MAC</w:t>
      </w:r>
      <w:r w:rsidRPr="00B801C7">
        <w:rPr>
          <w:rFonts w:ascii="Helvetica" w:hAnsi="Helvetica"/>
          <w:sz w:val="21"/>
          <w:szCs w:val="21"/>
        </w:rPr>
        <w:t>.</w:t>
      </w:r>
    </w:p>
    <w:p w:rsidR="002D5955" w:rsidRPr="00B801C7" w:rsidRDefault="002D5955" w:rsidP="002D5955">
      <w:pPr>
        <w:pStyle w:val="ListParagraph"/>
        <w:numPr>
          <w:ilvl w:val="0"/>
          <w:numId w:val="9"/>
        </w:numPr>
        <w:pBdr>
          <w:left w:val="none" w:sz="0" w:space="7" w:color="auto"/>
        </w:pBdr>
        <w:rPr>
          <w:rFonts w:ascii="Calibri" w:eastAsia="Calibri" w:hAnsi="Calibri" w:cs="Calibri"/>
          <w:u w:val="single"/>
        </w:rPr>
      </w:pPr>
      <w:r w:rsidRPr="00B801C7">
        <w:rPr>
          <w:rStyle w:val="Emphasis"/>
          <w:rFonts w:ascii="Helvetica" w:hAnsi="Helvetica"/>
          <w:i w:val="0"/>
          <w:iCs w:val="0"/>
          <w:sz w:val="21"/>
          <w:szCs w:val="21"/>
        </w:rPr>
        <w:t xml:space="preserve">Repayment of any excess funds will not begin until 120 days after payment is received.  </w:t>
      </w:r>
    </w:p>
    <w:p w:rsidR="002D5955" w:rsidRPr="00B801C7" w:rsidRDefault="002D5955" w:rsidP="002D5955">
      <w:pPr>
        <w:pBdr>
          <w:left w:val="none" w:sz="0" w:space="7" w:color="auto"/>
        </w:pBdr>
        <w:ind w:firstLine="90"/>
        <w:rPr>
          <w:rFonts w:ascii="Calibri" w:eastAsia="Calibri" w:hAnsi="Calibri" w:cs="Calibri"/>
          <w:u w:val="single"/>
        </w:rPr>
      </w:pPr>
    </w:p>
    <w:p w:rsidR="002D5955" w:rsidRPr="00B801C7" w:rsidRDefault="002D5955" w:rsidP="002D5955">
      <w:pPr>
        <w:pBdr>
          <w:left w:val="none" w:sz="0" w:space="7" w:color="auto"/>
        </w:pBdr>
        <w:ind w:firstLine="90"/>
        <w:rPr>
          <w:rFonts w:ascii="Calibri" w:eastAsia="Calibri" w:hAnsi="Calibri" w:cs="Calibri"/>
        </w:rPr>
      </w:pPr>
      <w:r w:rsidRPr="002D5955">
        <w:rPr>
          <w:rFonts w:ascii="Calibri" w:eastAsia="Calibri" w:hAnsi="Calibri" w:cs="Calibri"/>
          <w:i/>
          <w:iCs/>
          <w:u w:val="single"/>
        </w:rPr>
        <w:t>How do I access these benefits?</w:t>
      </w:r>
      <w:r w:rsidRPr="00B801C7">
        <w:rPr>
          <w:rFonts w:ascii="Calibri" w:eastAsia="Calibri" w:hAnsi="Calibri" w:cs="Calibri"/>
          <w:u w:val="single"/>
        </w:rPr>
        <w:t xml:space="preserve"> </w:t>
      </w:r>
      <w:r w:rsidRPr="00B801C7">
        <w:rPr>
          <w:rFonts w:ascii="Calibri" w:eastAsia="Calibri" w:hAnsi="Calibri" w:cs="Calibri"/>
        </w:rPr>
        <w:t xml:space="preserve">  Contact your Medicare Administrative Contractor (MAC.)  </w:t>
      </w:r>
    </w:p>
    <w:p w:rsidR="002D5955" w:rsidRPr="00B801C7" w:rsidRDefault="002D5955" w:rsidP="002D5955">
      <w:pPr>
        <w:pBdr>
          <w:left w:val="none" w:sz="0" w:space="7" w:color="auto"/>
        </w:pBdr>
        <w:ind w:firstLine="90"/>
        <w:rPr>
          <w:rFonts w:ascii="Calibri" w:eastAsia="Calibri" w:hAnsi="Calibri" w:cs="Calibri"/>
        </w:rPr>
      </w:pPr>
    </w:p>
    <w:p w:rsidR="002D5955" w:rsidRPr="002D5955" w:rsidRDefault="002D5955" w:rsidP="002D5955">
      <w:pPr>
        <w:pStyle w:val="NormalWeb"/>
        <w:spacing w:before="0" w:beforeAutospacing="0" w:after="150" w:afterAutospacing="0"/>
        <w:rPr>
          <w:rFonts w:ascii="Helvetica" w:hAnsi="Helvetica"/>
          <w:i/>
          <w:iCs/>
          <w:sz w:val="21"/>
          <w:szCs w:val="21"/>
        </w:rPr>
      </w:pPr>
      <w:r w:rsidRPr="002D5955">
        <w:rPr>
          <w:rFonts w:ascii="Calibri" w:eastAsia="Calibri" w:hAnsi="Calibri" w:cs="Calibri"/>
          <w:i/>
          <w:iCs/>
          <w:u w:val="single"/>
        </w:rPr>
        <w:t>Where can I get more information?</w:t>
      </w:r>
      <w:r w:rsidRPr="00B801C7">
        <w:rPr>
          <w:rFonts w:ascii="Calibri" w:eastAsia="Calibri" w:hAnsi="Calibri" w:cs="Calibri"/>
        </w:rPr>
        <w:t xml:space="preserve">  </w:t>
      </w:r>
      <w:r>
        <w:rPr>
          <w:rFonts w:ascii="Calibri" w:eastAsia="Calibri" w:hAnsi="Calibri" w:cs="Calibri"/>
        </w:rPr>
        <w:t>S</w:t>
      </w:r>
      <w:r w:rsidRPr="00B801C7">
        <w:rPr>
          <w:rFonts w:ascii="Helvetica" w:hAnsi="Helvetica"/>
          <w:sz w:val="21"/>
          <w:szCs w:val="21"/>
        </w:rPr>
        <w:t>ee this </w:t>
      </w:r>
      <w:hyperlink r:id="rId37" w:history="1">
        <w:r w:rsidRPr="002D5955">
          <w:rPr>
            <w:rStyle w:val="Hyperlink"/>
            <w:rFonts w:ascii="Helvetica" w:hAnsi="Helvetica"/>
            <w:i/>
            <w:iCs/>
            <w:color w:val="auto"/>
            <w:sz w:val="21"/>
            <w:szCs w:val="21"/>
          </w:rPr>
          <w:t>CMS Fact Sheet on advanced payments.</w:t>
        </w:r>
      </w:hyperlink>
    </w:p>
    <w:p w:rsidR="002D5955" w:rsidRPr="00B801C7" w:rsidRDefault="002D5955" w:rsidP="002D5955">
      <w:pPr>
        <w:pStyle w:val="NormalWeb"/>
        <w:spacing w:before="0" w:beforeAutospacing="0" w:after="150" w:afterAutospacing="0"/>
        <w:rPr>
          <w:rStyle w:val="Emphasis"/>
          <w:rFonts w:ascii="Helvetica" w:hAnsi="Helvetica"/>
          <w:i w:val="0"/>
          <w:iCs w:val="0"/>
          <w:sz w:val="21"/>
          <w:szCs w:val="21"/>
          <w:u w:val="single"/>
        </w:rPr>
      </w:pPr>
    </w:p>
    <w:p w:rsidR="002D5955" w:rsidRDefault="002D5955">
      <w:pPr>
        <w:rPr>
          <w:rFonts w:ascii="Calibri" w:eastAsia="Calibri" w:hAnsi="Calibri" w:cs="Calibri"/>
          <w:b/>
          <w:bCs/>
          <w:sz w:val="28"/>
          <w:szCs w:val="28"/>
        </w:rPr>
      </w:pPr>
      <w:r>
        <w:br w:type="page"/>
      </w:r>
    </w:p>
    <w:p w:rsidR="002D5955" w:rsidRPr="00E34C5E" w:rsidRDefault="002D5955" w:rsidP="002D5955">
      <w:pPr>
        <w:pStyle w:val="Heading1"/>
      </w:pPr>
      <w:r>
        <w:lastRenderedPageBreak/>
        <w:t>Expanded</w:t>
      </w:r>
      <w:r w:rsidRPr="00E34C5E">
        <w:t xml:space="preserve"> Unemployment </w:t>
      </w:r>
      <w:r>
        <w:t>Insurance for Fully or Partially Laid-Off Employees</w:t>
      </w:r>
    </w:p>
    <w:p w:rsidR="002D5955" w:rsidRPr="00154F59" w:rsidRDefault="002D5955" w:rsidP="002D5955">
      <w:pPr>
        <w:rPr>
          <w:rFonts w:asciiTheme="minorHAnsi" w:hAnsiTheme="minorHAnsi" w:cstheme="minorHAnsi"/>
        </w:rPr>
      </w:pPr>
    </w:p>
    <w:p w:rsidR="002D5955" w:rsidRPr="00507845" w:rsidRDefault="002D5955" w:rsidP="002D5955">
      <w:pPr>
        <w:pStyle w:val="NormalWeb"/>
        <w:shd w:val="clear" w:color="auto" w:fill="FFFFFF"/>
        <w:spacing w:before="0" w:beforeAutospacing="0" w:after="300" w:afterAutospacing="0"/>
        <w:textAlignment w:val="baseline"/>
        <w:rPr>
          <w:rFonts w:asciiTheme="minorHAnsi" w:eastAsia="Calibri" w:hAnsiTheme="minorHAnsi" w:cstheme="minorHAnsi"/>
          <w:b/>
          <w:bCs/>
          <w:i/>
          <w:iCs/>
        </w:rPr>
      </w:pPr>
      <w:r w:rsidRPr="00507845">
        <w:rPr>
          <w:rFonts w:asciiTheme="minorHAnsi" w:eastAsia="Calibri" w:hAnsiTheme="minorHAnsi" w:cstheme="minorHAnsi"/>
        </w:rPr>
        <w:t xml:space="preserve">Recent legislation grants states more flexibility in paying Unemployment Insurance (UI) to individuals impacted by COVID-19, and nearly </w:t>
      </w:r>
      <w:r w:rsidRPr="00507845">
        <w:rPr>
          <w:rFonts w:asciiTheme="minorHAnsi" w:hAnsiTheme="minorHAnsi" w:cstheme="minorHAnsi"/>
          <w:color w:val="2B2B2B"/>
        </w:rPr>
        <w:t xml:space="preserve">all  states have issued guidance specifying how they have expanded their UI programs to cover these employees.  However, not all states have expanded UI benefits to the same extent, and there are variations in each state with respect to </w:t>
      </w:r>
      <w:r>
        <w:rPr>
          <w:rFonts w:asciiTheme="minorHAnsi" w:hAnsiTheme="minorHAnsi" w:cstheme="minorHAnsi"/>
          <w:color w:val="2B2B2B"/>
        </w:rPr>
        <w:t>factors such as</w:t>
      </w:r>
      <w:r w:rsidRPr="00507845">
        <w:rPr>
          <w:rFonts w:asciiTheme="minorHAnsi" w:hAnsiTheme="minorHAnsi" w:cstheme="minorHAnsi"/>
          <w:color w:val="2B2B2B"/>
        </w:rPr>
        <w:t xml:space="preserve"> furloughs, charge-back rates to employers, and how UI benefits interact with paid leave. </w:t>
      </w:r>
      <w:r w:rsidRPr="00507845">
        <w:rPr>
          <w:rFonts w:asciiTheme="minorHAnsi" w:eastAsia="Calibri" w:hAnsiTheme="minorHAnsi" w:cstheme="minorHAnsi"/>
        </w:rPr>
        <w:t>Therefore</w:t>
      </w:r>
      <w:r w:rsidRPr="00507845">
        <w:rPr>
          <w:rFonts w:asciiTheme="minorHAnsi" w:eastAsia="Calibri" w:hAnsiTheme="minorHAnsi" w:cstheme="minorHAnsi"/>
          <w:b/>
          <w:bCs/>
          <w:i/>
          <w:iCs/>
        </w:rPr>
        <w:t>, it is critical to check with your state Unemployment Insurance (UI) office to determine which benefits apply in your state</w:t>
      </w:r>
      <w:r>
        <w:rPr>
          <w:rFonts w:asciiTheme="minorHAnsi" w:eastAsia="Calibri" w:hAnsiTheme="minorHAnsi" w:cstheme="minorHAnsi"/>
          <w:b/>
          <w:bCs/>
          <w:i/>
          <w:iCs/>
        </w:rPr>
        <w:t>, and how</w:t>
      </w:r>
      <w:r w:rsidRPr="00507845">
        <w:rPr>
          <w:rFonts w:asciiTheme="minorHAnsi" w:eastAsia="Calibri" w:hAnsiTheme="minorHAnsi" w:cstheme="minorHAnsi"/>
          <w:b/>
          <w:bCs/>
          <w:i/>
          <w:iCs/>
        </w:rPr>
        <w:t xml:space="preserve">.  </w:t>
      </w:r>
    </w:p>
    <w:p w:rsidR="002D5955" w:rsidRDefault="002D5955" w:rsidP="002D5955">
      <w:pPr>
        <w:rPr>
          <w:rFonts w:asciiTheme="minorHAnsi" w:eastAsia="Calibri" w:hAnsiTheme="minorHAnsi" w:cstheme="minorHAnsi"/>
          <w:i/>
          <w:iCs/>
          <w:u w:val="single"/>
        </w:rPr>
      </w:pPr>
      <w:r>
        <w:rPr>
          <w:rFonts w:asciiTheme="minorHAnsi" w:eastAsia="Calibri" w:hAnsiTheme="minorHAnsi" w:cstheme="minorHAnsi"/>
          <w:i/>
          <w:iCs/>
          <w:u w:val="single"/>
        </w:rPr>
        <w:t xml:space="preserve">Which individuals are eligible for the expanded UI benefits due to COVID-19? </w:t>
      </w:r>
    </w:p>
    <w:p w:rsidR="002D5955" w:rsidRPr="004421AC" w:rsidRDefault="002D5955" w:rsidP="002D5955">
      <w:pPr>
        <w:pStyle w:val="NormalWeb"/>
        <w:shd w:val="clear" w:color="auto" w:fill="FFFFFF"/>
        <w:spacing w:before="0" w:beforeAutospacing="0" w:after="0" w:afterAutospacing="0"/>
        <w:textAlignment w:val="baseline"/>
        <w:rPr>
          <w:rFonts w:asciiTheme="minorHAnsi" w:hAnsiTheme="minorHAnsi" w:cstheme="minorHAnsi"/>
          <w:color w:val="2B2B2B"/>
        </w:rPr>
      </w:pPr>
      <w:r>
        <w:rPr>
          <w:rFonts w:asciiTheme="minorHAnsi" w:hAnsiTheme="minorHAnsi" w:cstheme="minorHAnsi"/>
          <w:color w:val="2B2B2B"/>
        </w:rPr>
        <w:t>S</w:t>
      </w:r>
      <w:r w:rsidRPr="004421AC">
        <w:rPr>
          <w:rFonts w:asciiTheme="minorHAnsi" w:hAnsiTheme="minorHAnsi" w:cstheme="minorHAnsi"/>
          <w:color w:val="2B2B2B"/>
        </w:rPr>
        <w:t xml:space="preserve">tates </w:t>
      </w:r>
      <w:r>
        <w:rPr>
          <w:rFonts w:asciiTheme="minorHAnsi" w:hAnsiTheme="minorHAnsi" w:cstheme="minorHAnsi"/>
          <w:color w:val="2B2B2B"/>
        </w:rPr>
        <w:t xml:space="preserve">now have more </w:t>
      </w:r>
      <w:r w:rsidRPr="004421AC">
        <w:rPr>
          <w:rFonts w:asciiTheme="minorHAnsi" w:hAnsiTheme="minorHAnsi" w:cstheme="minorHAnsi"/>
          <w:color w:val="2B2B2B"/>
        </w:rPr>
        <w:t>flexib</w:t>
      </w:r>
      <w:r>
        <w:rPr>
          <w:rFonts w:asciiTheme="minorHAnsi" w:hAnsiTheme="minorHAnsi" w:cstheme="minorHAnsi"/>
          <w:color w:val="2B2B2B"/>
        </w:rPr>
        <w:t xml:space="preserve">ility in </w:t>
      </w:r>
      <w:r w:rsidRPr="004421AC">
        <w:rPr>
          <w:rFonts w:asciiTheme="minorHAnsi" w:hAnsiTheme="minorHAnsi" w:cstheme="minorHAnsi"/>
          <w:color w:val="2B2B2B"/>
        </w:rPr>
        <w:t xml:space="preserve">paying UI benefits </w:t>
      </w:r>
      <w:r>
        <w:rPr>
          <w:rFonts w:asciiTheme="minorHAnsi" w:hAnsiTheme="minorHAnsi" w:cstheme="minorHAnsi"/>
          <w:color w:val="2B2B2B"/>
        </w:rPr>
        <w:t>when</w:t>
      </w:r>
      <w:r w:rsidRPr="004421AC">
        <w:rPr>
          <w:rFonts w:asciiTheme="minorHAnsi" w:hAnsiTheme="minorHAnsi" w:cstheme="minorHAnsi"/>
          <w:color w:val="2B2B2B"/>
        </w:rPr>
        <w:t>:</w:t>
      </w:r>
    </w:p>
    <w:p w:rsidR="002D5955" w:rsidRPr="004421AC" w:rsidRDefault="002D5955" w:rsidP="002D5955">
      <w:pPr>
        <w:numPr>
          <w:ilvl w:val="0"/>
          <w:numId w:val="20"/>
        </w:numPr>
        <w:shd w:val="clear" w:color="auto" w:fill="FFFFFF"/>
        <w:textAlignment w:val="baseline"/>
        <w:rPr>
          <w:rFonts w:asciiTheme="minorHAnsi" w:hAnsiTheme="minorHAnsi" w:cstheme="minorHAnsi"/>
          <w:color w:val="2B2B2B"/>
        </w:rPr>
      </w:pPr>
      <w:r w:rsidRPr="004421AC">
        <w:rPr>
          <w:rFonts w:asciiTheme="minorHAnsi" w:hAnsiTheme="minorHAnsi" w:cstheme="minorHAnsi"/>
          <w:color w:val="2B2B2B"/>
        </w:rPr>
        <w:t xml:space="preserve">An employer temporarily ceases operations due to COVID-19, preventing employees from </w:t>
      </w:r>
      <w:r>
        <w:rPr>
          <w:rFonts w:asciiTheme="minorHAnsi" w:hAnsiTheme="minorHAnsi" w:cstheme="minorHAnsi"/>
          <w:color w:val="2B2B2B"/>
        </w:rPr>
        <w:t>working;</w:t>
      </w:r>
    </w:p>
    <w:p w:rsidR="002D5955" w:rsidRPr="004421AC" w:rsidRDefault="002D5955" w:rsidP="002D5955">
      <w:pPr>
        <w:numPr>
          <w:ilvl w:val="0"/>
          <w:numId w:val="20"/>
        </w:numPr>
        <w:shd w:val="clear" w:color="auto" w:fill="FFFFFF"/>
        <w:textAlignment w:val="baseline"/>
        <w:rPr>
          <w:rFonts w:asciiTheme="minorHAnsi" w:hAnsiTheme="minorHAnsi" w:cstheme="minorHAnsi"/>
          <w:color w:val="2B2B2B"/>
        </w:rPr>
      </w:pPr>
      <w:r w:rsidRPr="004421AC">
        <w:rPr>
          <w:rFonts w:asciiTheme="minorHAnsi" w:hAnsiTheme="minorHAnsi" w:cstheme="minorHAnsi"/>
          <w:color w:val="2B2B2B"/>
        </w:rPr>
        <w:t>An individual is quarantined with the expectation of returning to work after the quarantine is over; and</w:t>
      </w:r>
    </w:p>
    <w:p w:rsidR="002D5955" w:rsidRPr="004421AC" w:rsidRDefault="002D5955" w:rsidP="002D5955">
      <w:pPr>
        <w:numPr>
          <w:ilvl w:val="0"/>
          <w:numId w:val="20"/>
        </w:numPr>
        <w:shd w:val="clear" w:color="auto" w:fill="FFFFFF"/>
        <w:textAlignment w:val="baseline"/>
        <w:rPr>
          <w:rFonts w:asciiTheme="minorHAnsi" w:hAnsiTheme="minorHAnsi" w:cstheme="minorHAnsi"/>
          <w:color w:val="2B2B2B"/>
        </w:rPr>
      </w:pPr>
      <w:r w:rsidRPr="004421AC">
        <w:rPr>
          <w:rFonts w:asciiTheme="minorHAnsi" w:hAnsiTheme="minorHAnsi" w:cstheme="minorHAnsi"/>
          <w:color w:val="2B2B2B"/>
        </w:rPr>
        <w:t>An individual leaves employment due to a risk of exposure or infection or to care for a family member.</w:t>
      </w:r>
    </w:p>
    <w:p w:rsidR="002D5955" w:rsidRDefault="002D5955" w:rsidP="002D5955">
      <w:pPr>
        <w:rPr>
          <w:rFonts w:asciiTheme="minorHAnsi" w:eastAsia="Calibri" w:hAnsiTheme="minorHAnsi" w:cstheme="minorHAnsi"/>
          <w:i/>
          <w:iCs/>
          <w:u w:val="single"/>
        </w:rPr>
      </w:pPr>
    </w:p>
    <w:p w:rsidR="002D5955" w:rsidRPr="00154F59" w:rsidRDefault="002D5955" w:rsidP="002D5955">
      <w:pPr>
        <w:rPr>
          <w:rFonts w:asciiTheme="minorHAnsi" w:eastAsia="Calibri" w:hAnsiTheme="minorHAnsi" w:cstheme="minorHAnsi"/>
          <w:i/>
          <w:iCs/>
          <w:u w:val="single"/>
        </w:rPr>
      </w:pPr>
      <w:r w:rsidRPr="00154F59">
        <w:rPr>
          <w:rFonts w:asciiTheme="minorHAnsi" w:eastAsia="Calibri" w:hAnsiTheme="minorHAnsi" w:cstheme="minorHAnsi"/>
          <w:i/>
          <w:iCs/>
          <w:u w:val="single"/>
        </w:rPr>
        <w:t xml:space="preserve">What expanded </w:t>
      </w:r>
      <w:r>
        <w:rPr>
          <w:rFonts w:asciiTheme="minorHAnsi" w:eastAsia="Calibri" w:hAnsiTheme="minorHAnsi" w:cstheme="minorHAnsi"/>
          <w:i/>
          <w:iCs/>
          <w:u w:val="single"/>
        </w:rPr>
        <w:t xml:space="preserve">UI </w:t>
      </w:r>
      <w:r w:rsidRPr="00154F59">
        <w:rPr>
          <w:rFonts w:asciiTheme="minorHAnsi" w:eastAsia="Calibri" w:hAnsiTheme="minorHAnsi" w:cstheme="minorHAnsi"/>
          <w:i/>
          <w:iCs/>
          <w:u w:val="single"/>
        </w:rPr>
        <w:t xml:space="preserve">benefits are available </w:t>
      </w:r>
      <w:r>
        <w:rPr>
          <w:rFonts w:asciiTheme="minorHAnsi" w:eastAsia="Calibri" w:hAnsiTheme="minorHAnsi" w:cstheme="minorHAnsi"/>
          <w:i/>
          <w:iCs/>
          <w:u w:val="single"/>
        </w:rPr>
        <w:t xml:space="preserve">nationally </w:t>
      </w:r>
      <w:r w:rsidRPr="00154F59">
        <w:rPr>
          <w:rFonts w:asciiTheme="minorHAnsi" w:eastAsia="Calibri" w:hAnsiTheme="minorHAnsi" w:cstheme="minorHAnsi"/>
          <w:i/>
          <w:iCs/>
          <w:u w:val="single"/>
        </w:rPr>
        <w:t xml:space="preserve">to </w:t>
      </w:r>
      <w:r>
        <w:rPr>
          <w:rFonts w:asciiTheme="minorHAnsi" w:eastAsia="Calibri" w:hAnsiTheme="minorHAnsi" w:cstheme="minorHAnsi"/>
          <w:i/>
          <w:iCs/>
          <w:u w:val="single"/>
        </w:rPr>
        <w:t>all applicants impacted by COVID-19</w:t>
      </w:r>
      <w:r w:rsidRPr="00154F59">
        <w:rPr>
          <w:rFonts w:asciiTheme="minorHAnsi" w:eastAsia="Calibri" w:hAnsiTheme="minorHAnsi" w:cstheme="minorHAnsi"/>
          <w:i/>
          <w:iCs/>
          <w:u w:val="single"/>
        </w:rPr>
        <w:t xml:space="preserve">?  </w:t>
      </w:r>
    </w:p>
    <w:p w:rsidR="002D5955" w:rsidRPr="00154F59" w:rsidRDefault="002D5955" w:rsidP="002D5955">
      <w:pPr>
        <w:rPr>
          <w:rFonts w:asciiTheme="minorHAnsi" w:hAnsiTheme="minorHAnsi" w:cstheme="minorHAnsi"/>
        </w:rPr>
      </w:pPr>
      <w:r w:rsidRPr="00154F59">
        <w:rPr>
          <w:rFonts w:asciiTheme="minorHAnsi" w:hAnsiTheme="minorHAnsi" w:cstheme="minorHAnsi"/>
        </w:rPr>
        <w:t>Eligible individuals will receive:</w:t>
      </w:r>
    </w:p>
    <w:p w:rsidR="002D5955" w:rsidRPr="00154F59" w:rsidRDefault="002D5955" w:rsidP="002D5955">
      <w:pPr>
        <w:pStyle w:val="ListParagraph"/>
        <w:numPr>
          <w:ilvl w:val="0"/>
          <w:numId w:val="19"/>
        </w:numPr>
        <w:shd w:val="clear" w:color="auto" w:fill="FFFFFF"/>
        <w:spacing w:after="100" w:afterAutospacing="1" w:line="240" w:lineRule="auto"/>
        <w:ind w:left="720"/>
        <w:rPr>
          <w:rFonts w:eastAsia="Times New Roman" w:cstheme="minorHAnsi"/>
          <w:color w:val="333333"/>
          <w:sz w:val="24"/>
          <w:szCs w:val="24"/>
        </w:rPr>
      </w:pPr>
      <w:r w:rsidRPr="00154F59">
        <w:rPr>
          <w:rFonts w:eastAsia="Times New Roman" w:cstheme="minorHAnsi"/>
          <w:color w:val="424242"/>
          <w:sz w:val="24"/>
          <w:szCs w:val="24"/>
        </w:rPr>
        <w:t>Payment for the first week of approved unemployment, covered fully by the Federal government.  (</w:t>
      </w:r>
      <w:r>
        <w:rPr>
          <w:rFonts w:eastAsia="Times New Roman" w:cstheme="minorHAnsi"/>
          <w:color w:val="424242"/>
          <w:sz w:val="24"/>
          <w:szCs w:val="24"/>
        </w:rPr>
        <w:t>Most states t</w:t>
      </w:r>
      <w:r w:rsidRPr="00154F59">
        <w:rPr>
          <w:rFonts w:eastAsia="Times New Roman" w:cstheme="minorHAnsi"/>
          <w:color w:val="424242"/>
          <w:sz w:val="24"/>
          <w:szCs w:val="24"/>
        </w:rPr>
        <w:t>ypically</w:t>
      </w:r>
      <w:r>
        <w:rPr>
          <w:rFonts w:eastAsia="Times New Roman" w:cstheme="minorHAnsi"/>
          <w:color w:val="424242"/>
          <w:sz w:val="24"/>
          <w:szCs w:val="24"/>
        </w:rPr>
        <w:t xml:space="preserve"> provide no UI </w:t>
      </w:r>
      <w:r w:rsidRPr="00154F59">
        <w:rPr>
          <w:rFonts w:eastAsia="Times New Roman" w:cstheme="minorHAnsi"/>
          <w:color w:val="424242"/>
          <w:sz w:val="24"/>
          <w:szCs w:val="24"/>
        </w:rPr>
        <w:t xml:space="preserve">payment during the first week.)   </w:t>
      </w:r>
    </w:p>
    <w:p w:rsidR="002D5955" w:rsidRPr="00F407BA" w:rsidRDefault="002D5955" w:rsidP="002D5955">
      <w:pPr>
        <w:pStyle w:val="ListParagraph"/>
        <w:numPr>
          <w:ilvl w:val="0"/>
          <w:numId w:val="19"/>
        </w:numPr>
        <w:shd w:val="clear" w:color="auto" w:fill="FFFFFF"/>
        <w:spacing w:before="100" w:beforeAutospacing="1" w:after="100" w:afterAutospacing="1"/>
        <w:ind w:left="720"/>
        <w:rPr>
          <w:rFonts w:eastAsia="Times New Roman" w:cstheme="minorHAnsi"/>
          <w:color w:val="333333"/>
          <w:sz w:val="24"/>
          <w:szCs w:val="24"/>
        </w:rPr>
      </w:pPr>
      <w:r w:rsidRPr="00154F59">
        <w:rPr>
          <w:rFonts w:cstheme="minorHAnsi"/>
          <w:sz w:val="24"/>
          <w:szCs w:val="24"/>
        </w:rPr>
        <w:t xml:space="preserve">An additional $600 per week, on </w:t>
      </w:r>
      <w:r w:rsidRPr="00154F59">
        <w:rPr>
          <w:rFonts w:cstheme="minorHAnsi"/>
          <w:color w:val="424242"/>
          <w:sz w:val="24"/>
          <w:szCs w:val="24"/>
        </w:rPr>
        <w:t xml:space="preserve">top of ordinary state-authorized weekly benefits, through July 31, 2020.  </w:t>
      </w:r>
      <w:r w:rsidRPr="00F407BA">
        <w:rPr>
          <w:rFonts w:eastAsia="Times New Roman" w:cstheme="minorHAnsi"/>
          <w:color w:val="333333"/>
          <w:sz w:val="24"/>
          <w:szCs w:val="24"/>
        </w:rPr>
        <w:t>It is expected that this benefit will be added to all payments issued starting the week of April 12-18 and will be added to all Unemployment Insurance benefit payments for weeks of unemployment beginning Sunday, March 29, 2020 and ending no later than July 31, 2020.</w:t>
      </w:r>
      <w:r w:rsidRPr="00154F59">
        <w:rPr>
          <w:rFonts w:cstheme="minorHAnsi"/>
          <w:color w:val="333333"/>
          <w:sz w:val="24"/>
          <w:szCs w:val="24"/>
        </w:rPr>
        <w:t xml:space="preserve">  However, states are still waiting fo</w:t>
      </w:r>
      <w:r>
        <w:rPr>
          <w:rFonts w:cstheme="minorHAnsi"/>
          <w:color w:val="333333"/>
          <w:sz w:val="24"/>
          <w:szCs w:val="24"/>
        </w:rPr>
        <w:t>r</w:t>
      </w:r>
      <w:r w:rsidRPr="00154F59">
        <w:rPr>
          <w:rFonts w:cstheme="minorHAnsi"/>
          <w:color w:val="333333"/>
          <w:sz w:val="24"/>
          <w:szCs w:val="24"/>
        </w:rPr>
        <w:t xml:space="preserve"> guidance from the US Department of Labor for details.  </w:t>
      </w:r>
    </w:p>
    <w:p w:rsidR="002D5955" w:rsidRPr="00154F59" w:rsidRDefault="002D5955" w:rsidP="002D5955">
      <w:pPr>
        <w:pStyle w:val="ListParagraph"/>
        <w:numPr>
          <w:ilvl w:val="0"/>
          <w:numId w:val="18"/>
        </w:numPr>
        <w:rPr>
          <w:rFonts w:cstheme="minorHAnsi"/>
          <w:sz w:val="24"/>
          <w:szCs w:val="24"/>
        </w:rPr>
      </w:pPr>
      <w:r w:rsidRPr="00154F59">
        <w:rPr>
          <w:rFonts w:eastAsia="Times New Roman" w:cstheme="minorHAnsi"/>
          <w:color w:val="424242"/>
          <w:sz w:val="24"/>
          <w:szCs w:val="24"/>
        </w:rPr>
        <w:t>An additional 13 weeks of pandemic emergency unemployment compensation, if they exhaust their initial 26 weeks, up to a maximum of 39 weeks for the period January 27 through December 31, 2020.  This extension is call “Pandemic Unemployment Emergency Compensation.”</w:t>
      </w:r>
    </w:p>
    <w:p w:rsidR="002D5955" w:rsidRPr="00154F59" w:rsidRDefault="002D5955" w:rsidP="002D5955">
      <w:pPr>
        <w:pStyle w:val="ListParagraph"/>
        <w:numPr>
          <w:ilvl w:val="0"/>
          <w:numId w:val="18"/>
        </w:numPr>
        <w:rPr>
          <w:rFonts w:cstheme="minorHAnsi"/>
          <w:sz w:val="24"/>
          <w:szCs w:val="24"/>
        </w:rPr>
      </w:pPr>
      <w:r w:rsidRPr="00154F59">
        <w:rPr>
          <w:rFonts w:eastAsia="Times New Roman" w:cstheme="minorHAnsi"/>
          <w:color w:val="424242"/>
          <w:sz w:val="24"/>
          <w:szCs w:val="24"/>
        </w:rPr>
        <w:t xml:space="preserve">Some benefits may be available retroactively.    </w:t>
      </w:r>
    </w:p>
    <w:p w:rsidR="002D5955" w:rsidRPr="00154F59" w:rsidRDefault="002D5955" w:rsidP="002D5955">
      <w:pPr>
        <w:rPr>
          <w:rFonts w:asciiTheme="minorHAnsi" w:hAnsiTheme="minorHAnsi" w:cstheme="minorHAnsi"/>
          <w:i/>
          <w:iCs/>
          <w:color w:val="424242"/>
          <w:u w:val="single"/>
        </w:rPr>
      </w:pPr>
      <w:r w:rsidRPr="00154F59">
        <w:rPr>
          <w:rFonts w:asciiTheme="minorHAnsi" w:hAnsiTheme="minorHAnsi" w:cstheme="minorHAnsi"/>
          <w:i/>
          <w:iCs/>
          <w:color w:val="424242"/>
          <w:u w:val="single"/>
        </w:rPr>
        <w:t xml:space="preserve">What expanded </w:t>
      </w:r>
      <w:r>
        <w:rPr>
          <w:rFonts w:asciiTheme="minorHAnsi" w:hAnsiTheme="minorHAnsi" w:cstheme="minorHAnsi"/>
          <w:i/>
          <w:iCs/>
          <w:color w:val="424242"/>
          <w:u w:val="single"/>
        </w:rPr>
        <w:t xml:space="preserve">UI </w:t>
      </w:r>
      <w:r w:rsidRPr="00154F59">
        <w:rPr>
          <w:rFonts w:asciiTheme="minorHAnsi" w:hAnsiTheme="minorHAnsi" w:cstheme="minorHAnsi"/>
          <w:i/>
          <w:iCs/>
          <w:color w:val="424242"/>
          <w:u w:val="single"/>
        </w:rPr>
        <w:t>benefits may be available, based on your state?</w:t>
      </w:r>
    </w:p>
    <w:p w:rsidR="002D5955" w:rsidRDefault="002D5955" w:rsidP="002D5955">
      <w:pPr>
        <w:pStyle w:val="ListParagraph"/>
        <w:numPr>
          <w:ilvl w:val="0"/>
          <w:numId w:val="18"/>
        </w:numPr>
        <w:spacing w:after="0" w:line="240" w:lineRule="auto"/>
        <w:rPr>
          <w:rFonts w:cstheme="minorHAnsi"/>
          <w:color w:val="424242"/>
          <w:sz w:val="24"/>
          <w:szCs w:val="24"/>
        </w:rPr>
      </w:pPr>
      <w:r w:rsidRPr="00154F59">
        <w:rPr>
          <w:rFonts w:cstheme="minorHAnsi"/>
          <w:color w:val="424242"/>
          <w:sz w:val="24"/>
          <w:szCs w:val="24"/>
        </w:rPr>
        <w:t xml:space="preserve">States are encouraged to establish or expand “short-time compensation programs.”  These programs –also known as “work sharing” programs -- provide employees whose hours have been reduced with a pro rata portion of </w:t>
      </w:r>
      <w:r>
        <w:rPr>
          <w:rFonts w:cstheme="minorHAnsi"/>
          <w:color w:val="424242"/>
          <w:sz w:val="24"/>
          <w:szCs w:val="24"/>
        </w:rPr>
        <w:t>the UI</w:t>
      </w:r>
      <w:r w:rsidRPr="00154F59">
        <w:rPr>
          <w:rFonts w:cstheme="minorHAnsi"/>
          <w:color w:val="424242"/>
          <w:sz w:val="24"/>
          <w:szCs w:val="24"/>
        </w:rPr>
        <w:t xml:space="preserve"> </w:t>
      </w:r>
      <w:r>
        <w:rPr>
          <w:rFonts w:cstheme="minorHAnsi"/>
          <w:color w:val="424242"/>
          <w:sz w:val="24"/>
          <w:szCs w:val="24"/>
        </w:rPr>
        <w:t>they</w:t>
      </w:r>
      <w:r w:rsidRPr="00154F59">
        <w:rPr>
          <w:rFonts w:cstheme="minorHAnsi"/>
          <w:color w:val="424242"/>
          <w:sz w:val="24"/>
          <w:szCs w:val="24"/>
        </w:rPr>
        <w:t xml:space="preserve"> would have received if fully laid off. </w:t>
      </w:r>
      <w:r>
        <w:rPr>
          <w:rFonts w:cstheme="minorHAnsi"/>
          <w:color w:val="424242"/>
          <w:sz w:val="24"/>
          <w:szCs w:val="24"/>
        </w:rPr>
        <w:t xml:space="preserve"> </w:t>
      </w:r>
      <w:r w:rsidRPr="00154F59">
        <w:rPr>
          <w:rFonts w:cstheme="minorHAnsi"/>
          <w:color w:val="424242"/>
          <w:sz w:val="24"/>
          <w:szCs w:val="24"/>
        </w:rPr>
        <w:t xml:space="preserve">Often, such programs require employers to submit short-time compensation plans to the state for approval before employees are able to take advantage of such a benefit. </w:t>
      </w:r>
    </w:p>
    <w:p w:rsidR="002D5955" w:rsidRPr="00A77608" w:rsidRDefault="002D5955" w:rsidP="002D5955">
      <w:pPr>
        <w:pStyle w:val="ListParagraph"/>
        <w:numPr>
          <w:ilvl w:val="0"/>
          <w:numId w:val="18"/>
        </w:numPr>
        <w:spacing w:before="100" w:beforeAutospacing="1" w:after="100" w:afterAutospacing="1" w:line="240" w:lineRule="auto"/>
        <w:rPr>
          <w:rFonts w:cstheme="minorHAnsi"/>
          <w:color w:val="424242"/>
          <w:sz w:val="24"/>
          <w:szCs w:val="24"/>
        </w:rPr>
      </w:pPr>
      <w:r>
        <w:rPr>
          <w:rFonts w:cstheme="minorHAnsi"/>
          <w:color w:val="424242"/>
          <w:sz w:val="24"/>
          <w:szCs w:val="24"/>
        </w:rPr>
        <w:t xml:space="preserve">Many states are now offering UI payments to staff who have been furloughed – fully or partly -- due to COVID-19.  (Typically, UI is restricted to individuals who have been terminated/ laid-off, which is considered more permanent than a furlough.)  </w:t>
      </w:r>
    </w:p>
    <w:p w:rsidR="002D5955" w:rsidRPr="00154F59" w:rsidRDefault="002D5955" w:rsidP="002D5955">
      <w:pPr>
        <w:pBdr>
          <w:left w:val="none" w:sz="0" w:space="7" w:color="auto"/>
        </w:pBdr>
        <w:rPr>
          <w:rFonts w:asciiTheme="minorHAnsi" w:hAnsiTheme="minorHAnsi" w:cstheme="minorHAnsi"/>
        </w:rPr>
      </w:pPr>
      <w:r w:rsidRPr="00154F59">
        <w:rPr>
          <w:rFonts w:asciiTheme="minorHAnsi" w:eastAsia="Calibri" w:hAnsiTheme="minorHAnsi" w:cstheme="minorHAnsi"/>
          <w:i/>
          <w:iCs/>
          <w:u w:val="single"/>
        </w:rPr>
        <w:t xml:space="preserve">What will this cost? </w:t>
      </w:r>
    </w:p>
    <w:p w:rsidR="002D5955" w:rsidRPr="00B05BDB" w:rsidRDefault="002D5955" w:rsidP="002D5955">
      <w:pPr>
        <w:pStyle w:val="NormalWeb"/>
        <w:pBdr>
          <w:left w:val="none" w:sz="0" w:space="7" w:color="auto"/>
        </w:pBdr>
        <w:shd w:val="clear" w:color="auto" w:fill="FFFFFF"/>
        <w:spacing w:before="0" w:beforeAutospacing="0" w:after="0" w:afterAutospacing="0"/>
        <w:textAlignment w:val="baseline"/>
        <w:rPr>
          <w:rStyle w:val="Strong"/>
          <w:rFonts w:asciiTheme="minorHAnsi" w:hAnsiTheme="minorHAnsi" w:cstheme="minorHAnsi"/>
          <w:b w:val="0"/>
          <w:bCs w:val="0"/>
        </w:rPr>
      </w:pPr>
      <w:r>
        <w:rPr>
          <w:rStyle w:val="Strong"/>
          <w:rFonts w:asciiTheme="minorHAnsi" w:hAnsiTheme="minorHAnsi" w:cstheme="minorHAnsi"/>
        </w:rPr>
        <w:t xml:space="preserve">It depends on your state, and also whether your organization pays State Unemployment Taxes (SUTA) or self-insures for unemployment costs.  </w:t>
      </w:r>
    </w:p>
    <w:p w:rsidR="002D5955" w:rsidRPr="00B05BDB" w:rsidRDefault="002D5955" w:rsidP="002D5955">
      <w:pPr>
        <w:pStyle w:val="NormalWeb"/>
        <w:numPr>
          <w:ilvl w:val="0"/>
          <w:numId w:val="18"/>
        </w:numPr>
        <w:pBdr>
          <w:left w:val="none" w:sz="0" w:space="7" w:color="auto"/>
        </w:pBdr>
        <w:shd w:val="clear" w:color="auto" w:fill="FFFFFF"/>
        <w:spacing w:before="0" w:beforeAutospacing="0" w:after="0" w:afterAutospacing="0"/>
        <w:textAlignment w:val="baseline"/>
        <w:rPr>
          <w:rFonts w:asciiTheme="minorHAnsi" w:hAnsiTheme="minorHAnsi" w:cstheme="minorHAnsi"/>
        </w:rPr>
      </w:pPr>
      <w:r w:rsidRPr="00B05BDB">
        <w:rPr>
          <w:rStyle w:val="Strong"/>
          <w:rFonts w:asciiTheme="minorHAnsi" w:hAnsiTheme="minorHAnsi" w:cstheme="minorHAnsi"/>
          <w:i/>
          <w:iCs/>
          <w:color w:val="2B2B2B"/>
          <w:bdr w:val="none" w:sz="0" w:space="0" w:color="auto" w:frame="1"/>
        </w:rPr>
        <w:t xml:space="preserve">For employers that pay State Unemployment Taxes (SUTA): </w:t>
      </w:r>
      <w:r>
        <w:rPr>
          <w:rStyle w:val="Strong"/>
          <w:rFonts w:asciiTheme="minorHAnsi" w:hAnsiTheme="minorHAnsi" w:cstheme="minorHAnsi"/>
          <w:color w:val="2B2B2B"/>
          <w:bdr w:val="none" w:sz="0" w:space="0" w:color="auto" w:frame="1"/>
        </w:rPr>
        <w:t xml:space="preserve"> </w:t>
      </w:r>
      <w:r w:rsidRPr="00A77608">
        <w:rPr>
          <w:rStyle w:val="Strong"/>
          <w:rFonts w:asciiTheme="minorHAnsi" w:hAnsiTheme="minorHAnsi" w:cstheme="minorHAnsi"/>
          <w:color w:val="2B2B2B"/>
          <w:bdr w:val="none" w:sz="0" w:space="0" w:color="auto" w:frame="1"/>
        </w:rPr>
        <w:t xml:space="preserve">In some states (e.g., DC, IA, ME, VT) </w:t>
      </w:r>
      <w:r w:rsidRPr="00A77608">
        <w:rPr>
          <w:rFonts w:asciiTheme="minorHAnsi" w:hAnsiTheme="minorHAnsi" w:cstheme="minorHAnsi"/>
          <w:color w:val="2B2B2B"/>
        </w:rPr>
        <w:t xml:space="preserve">benefits paid for reasons related to COVID-19 will not be charged to an employer’s experience rating – meaning that their UI contributions should not increase. However, other states like Delaware have made clear that they will not exclude COVID-19 claims from employer experience ratings, meaning </w:t>
      </w:r>
      <w:r w:rsidRPr="00A77608">
        <w:rPr>
          <w:rFonts w:asciiTheme="minorHAnsi" w:hAnsiTheme="minorHAnsi" w:cstheme="minorHAnsi"/>
          <w:color w:val="2B2B2B"/>
        </w:rPr>
        <w:lastRenderedPageBreak/>
        <w:t>employers could see an increase in their unemployment tax rate. Many other states have not yet provided any guidance on this issue.</w:t>
      </w:r>
    </w:p>
    <w:p w:rsidR="002D5955" w:rsidRDefault="002D5955" w:rsidP="002D5955">
      <w:pPr>
        <w:pStyle w:val="NormalWeb"/>
        <w:numPr>
          <w:ilvl w:val="0"/>
          <w:numId w:val="18"/>
        </w:numPr>
        <w:pBdr>
          <w:left w:val="none" w:sz="0" w:space="7" w:color="auto"/>
        </w:pBdr>
        <w:shd w:val="clear" w:color="auto" w:fill="FFFFFF"/>
        <w:spacing w:before="0" w:beforeAutospacing="0" w:after="0" w:afterAutospacing="0"/>
        <w:textAlignment w:val="baseline"/>
        <w:rPr>
          <w:rFonts w:asciiTheme="minorHAnsi" w:hAnsiTheme="minorHAnsi" w:cstheme="minorHAnsi"/>
        </w:rPr>
      </w:pPr>
      <w:r w:rsidRPr="00B05BDB">
        <w:rPr>
          <w:rStyle w:val="Strong"/>
          <w:rFonts w:asciiTheme="minorHAnsi" w:hAnsiTheme="minorHAnsi" w:cstheme="minorHAnsi"/>
          <w:i/>
          <w:iCs/>
          <w:color w:val="2B2B2B"/>
          <w:bdr w:val="none" w:sz="0" w:space="0" w:color="auto" w:frame="1"/>
        </w:rPr>
        <w:t>For non-</w:t>
      </w:r>
      <w:r w:rsidRPr="00B05BDB">
        <w:rPr>
          <w:rFonts w:asciiTheme="minorHAnsi" w:hAnsiTheme="minorHAnsi" w:cstheme="minorHAnsi"/>
          <w:b/>
          <w:bCs/>
          <w:i/>
          <w:iCs/>
        </w:rPr>
        <w:t>profit employers that self-insure for unemployment:</w:t>
      </w:r>
      <w:r w:rsidRPr="00B05BDB">
        <w:rPr>
          <w:rFonts w:asciiTheme="minorHAnsi" w:hAnsiTheme="minorHAnsi" w:cstheme="minorHAnsi"/>
        </w:rPr>
        <w:t xml:space="preserve">  </w:t>
      </w:r>
      <w:r>
        <w:rPr>
          <w:rFonts w:asciiTheme="minorHAnsi" w:hAnsiTheme="minorHAnsi" w:cstheme="minorHAnsi"/>
        </w:rPr>
        <w:t xml:space="preserve">These employers will be reimbursed for half of their costs of benefits provided to their laid-off employees.  </w:t>
      </w:r>
    </w:p>
    <w:p w:rsidR="002D5955" w:rsidRPr="00B05BDB" w:rsidRDefault="002D5955" w:rsidP="002D5955">
      <w:pPr>
        <w:pStyle w:val="NormalWeb"/>
        <w:pBdr>
          <w:left w:val="none" w:sz="0" w:space="7" w:color="auto"/>
        </w:pBdr>
        <w:shd w:val="clear" w:color="auto" w:fill="FFFFFF"/>
        <w:spacing w:before="0" w:beforeAutospacing="0" w:after="0" w:afterAutospacing="0"/>
        <w:ind w:left="720"/>
        <w:textAlignment w:val="baseline"/>
        <w:rPr>
          <w:rFonts w:asciiTheme="minorHAnsi" w:hAnsiTheme="minorHAnsi" w:cstheme="minorHAnsi"/>
        </w:rPr>
      </w:pPr>
    </w:p>
    <w:p w:rsidR="002D5955" w:rsidRPr="00A77608" w:rsidRDefault="002D5955" w:rsidP="002D5955">
      <w:pPr>
        <w:pStyle w:val="NormalWeb"/>
        <w:pBdr>
          <w:left w:val="none" w:sz="0" w:space="7" w:color="auto"/>
        </w:pBdr>
        <w:shd w:val="clear" w:color="auto" w:fill="FFFFFF"/>
        <w:spacing w:before="0" w:beforeAutospacing="0" w:after="0" w:afterAutospacing="0"/>
        <w:textAlignment w:val="baseline"/>
        <w:rPr>
          <w:rFonts w:asciiTheme="minorHAnsi" w:hAnsiTheme="minorHAnsi" w:cstheme="minorHAnsi"/>
        </w:rPr>
      </w:pPr>
      <w:r>
        <w:rPr>
          <w:rFonts w:asciiTheme="minorHAnsi" w:eastAsia="Calibri" w:hAnsiTheme="minorHAnsi" w:cstheme="minorHAnsi"/>
        </w:rPr>
        <w:t xml:space="preserve">Finally, </w:t>
      </w:r>
      <w:r w:rsidRPr="00A77608">
        <w:rPr>
          <w:rFonts w:asciiTheme="minorHAnsi" w:eastAsia="Calibri" w:hAnsiTheme="minorHAnsi" w:cstheme="minorHAnsi"/>
        </w:rPr>
        <w:t xml:space="preserve">Paycheck Protection loan forgiveness eligibility amounts will be reduced according to reductions in payroll from employees that seek </w:t>
      </w:r>
      <w:r>
        <w:rPr>
          <w:rFonts w:asciiTheme="minorHAnsi" w:eastAsia="Calibri" w:hAnsiTheme="minorHAnsi" w:cstheme="minorHAnsi"/>
        </w:rPr>
        <w:t xml:space="preserve">COVID-19-related UI </w:t>
      </w:r>
      <w:r w:rsidRPr="00A77608">
        <w:rPr>
          <w:rFonts w:asciiTheme="minorHAnsi" w:eastAsia="Calibri" w:hAnsiTheme="minorHAnsi" w:cstheme="minorHAnsi"/>
        </w:rPr>
        <w:t>benefits.</w:t>
      </w:r>
    </w:p>
    <w:p w:rsidR="002D5955" w:rsidRPr="00154F59" w:rsidRDefault="002D5955" w:rsidP="002D5955">
      <w:pPr>
        <w:pBdr>
          <w:left w:val="none" w:sz="0" w:space="7" w:color="auto"/>
        </w:pBdr>
        <w:rPr>
          <w:rFonts w:asciiTheme="minorHAnsi" w:hAnsiTheme="minorHAnsi" w:cstheme="minorHAnsi"/>
        </w:rPr>
      </w:pPr>
    </w:p>
    <w:p w:rsidR="002D5955" w:rsidRPr="00154F59" w:rsidRDefault="002D5955" w:rsidP="002D5955">
      <w:pPr>
        <w:pBdr>
          <w:left w:val="none" w:sz="0" w:space="7" w:color="auto"/>
        </w:pBdr>
        <w:rPr>
          <w:rFonts w:asciiTheme="minorHAnsi" w:hAnsiTheme="minorHAnsi" w:cstheme="minorHAnsi"/>
        </w:rPr>
      </w:pPr>
      <w:r w:rsidRPr="00154F59">
        <w:rPr>
          <w:rFonts w:asciiTheme="minorHAnsi" w:eastAsia="Calibri" w:hAnsiTheme="minorHAnsi" w:cstheme="minorHAnsi"/>
          <w:i/>
          <w:iCs/>
          <w:u w:val="single"/>
        </w:rPr>
        <w:t xml:space="preserve">How do </w:t>
      </w:r>
      <w:r>
        <w:rPr>
          <w:rFonts w:asciiTheme="minorHAnsi" w:eastAsia="Calibri" w:hAnsiTheme="minorHAnsi" w:cstheme="minorHAnsi"/>
          <w:i/>
          <w:iCs/>
          <w:u w:val="single"/>
        </w:rPr>
        <w:t xml:space="preserve">we learn more about </w:t>
      </w:r>
      <w:r w:rsidRPr="00154F59">
        <w:rPr>
          <w:rFonts w:asciiTheme="minorHAnsi" w:eastAsia="Calibri" w:hAnsiTheme="minorHAnsi" w:cstheme="minorHAnsi"/>
          <w:i/>
          <w:iCs/>
          <w:u w:val="single"/>
        </w:rPr>
        <w:t xml:space="preserve">these benefits? </w:t>
      </w:r>
    </w:p>
    <w:p w:rsidR="00D22574" w:rsidRPr="002D5955" w:rsidRDefault="002D5955" w:rsidP="002D5955">
      <w:pPr>
        <w:pBdr>
          <w:left w:val="none" w:sz="0" w:space="7" w:color="auto"/>
        </w:pBdr>
        <w:rPr>
          <w:rFonts w:ascii="Calibri" w:eastAsia="Calibri" w:hAnsi="Calibri" w:cs="Calibri"/>
        </w:rPr>
      </w:pPr>
      <w:r>
        <w:rPr>
          <w:rFonts w:ascii="Calibri" w:eastAsia="Calibri" w:hAnsi="Calibri" w:cs="Calibri"/>
        </w:rPr>
        <w:t xml:space="preserve">Contact your state </w:t>
      </w:r>
      <w:hyperlink r:id="rId38" w:history="1">
        <w:r>
          <w:rPr>
            <w:rFonts w:ascii="Calibri" w:eastAsia="Calibri" w:hAnsi="Calibri" w:cs="Calibri"/>
            <w:color w:val="0563C1"/>
            <w:u w:val="single" w:color="0563C1"/>
          </w:rPr>
          <w:t>unemployment office</w:t>
        </w:r>
      </w:hyperlink>
      <w:r>
        <w:rPr>
          <w:rFonts w:ascii="Calibri" w:eastAsia="Calibri" w:hAnsi="Calibri" w:cs="Calibri"/>
        </w:rPr>
        <w:t>.</w:t>
      </w:r>
    </w:p>
    <w:sectPr w:rsidR="00D22574" w:rsidRPr="002D5955">
      <w:footerReference w:type="default" r:id="rId39"/>
      <w:pgSz w:w="12240" w:h="15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C8" w:rsidRDefault="002038C8">
      <w:r>
        <w:separator/>
      </w:r>
    </w:p>
  </w:endnote>
  <w:endnote w:type="continuationSeparator" w:id="0">
    <w:p w:rsidR="002038C8" w:rsidRDefault="0020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026647"/>
      <w:docPartObj>
        <w:docPartGallery w:val="Page Numbers (Bottom of Page)"/>
        <w:docPartUnique/>
      </w:docPartObj>
    </w:sdtPr>
    <w:sdtEndPr>
      <w:rPr>
        <w:noProof/>
      </w:rPr>
    </w:sdtEndPr>
    <w:sdtContent>
      <w:p w:rsidR="00142F79" w:rsidRDefault="00142F79">
        <w:pPr>
          <w:pStyle w:val="Footer"/>
          <w:jc w:val="center"/>
        </w:pPr>
        <w:r>
          <w:fldChar w:fldCharType="begin"/>
        </w:r>
        <w:r>
          <w:instrText xml:space="preserve"> PAGE   \* MERGEFORMAT </w:instrText>
        </w:r>
        <w:r>
          <w:fldChar w:fldCharType="separate"/>
        </w:r>
        <w:r w:rsidR="009D24CA">
          <w:rPr>
            <w:noProof/>
          </w:rPr>
          <w:t>1</w:t>
        </w:r>
        <w:r>
          <w:rPr>
            <w:noProof/>
          </w:rPr>
          <w:fldChar w:fldCharType="end"/>
        </w:r>
      </w:p>
    </w:sdtContent>
  </w:sdt>
  <w:p w:rsidR="00784C8B" w:rsidRDefault="0078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C8" w:rsidRDefault="002038C8">
      <w:r>
        <w:separator/>
      </w:r>
    </w:p>
  </w:footnote>
  <w:footnote w:type="continuationSeparator" w:id="0">
    <w:p w:rsidR="002038C8" w:rsidRDefault="002038C8">
      <w:r>
        <w:continuationSeparator/>
      </w:r>
    </w:p>
  </w:footnote>
  <w:footnote w:id="1">
    <w:p w:rsidR="00250AA1" w:rsidRPr="00D16B19" w:rsidRDefault="00250AA1">
      <w:pPr>
        <w:pStyle w:val="FootnoteText"/>
        <w:rPr>
          <w:rFonts w:asciiTheme="minorHAnsi" w:hAnsiTheme="minorHAnsi" w:cstheme="minorHAnsi"/>
        </w:rPr>
      </w:pPr>
      <w:r w:rsidRPr="00D16B19">
        <w:rPr>
          <w:rStyle w:val="FootnoteReference"/>
          <w:rFonts w:asciiTheme="minorHAnsi" w:hAnsiTheme="minorHAnsi" w:cstheme="minorHAnsi"/>
        </w:rPr>
        <w:footnoteRef/>
      </w:r>
      <w:r w:rsidRPr="00D16B19">
        <w:rPr>
          <w:rFonts w:asciiTheme="minorHAnsi" w:hAnsiTheme="minorHAnsi" w:cstheme="minorHAnsi"/>
        </w:rPr>
        <w:t xml:space="preserve"> </w:t>
      </w:r>
      <w:r w:rsidR="00901A13" w:rsidRPr="00D16B19">
        <w:rPr>
          <w:rFonts w:asciiTheme="minorHAnsi" w:hAnsiTheme="minorHAnsi" w:cstheme="minorHAnsi"/>
        </w:rPr>
        <w:t>A</w:t>
      </w:r>
      <w:r w:rsidRPr="00D16B19">
        <w:rPr>
          <w:rFonts w:asciiTheme="minorHAnsi" w:hAnsiTheme="minorHAnsi" w:cstheme="minorHAnsi"/>
        </w:rPr>
        <w:t>ll programs which are open to health centers with fewer than 500 employees are also op</w:t>
      </w:r>
      <w:r w:rsidR="00901A13" w:rsidRPr="00D16B19">
        <w:rPr>
          <w:rFonts w:asciiTheme="minorHAnsi" w:hAnsiTheme="minorHAnsi" w:cstheme="minorHAnsi"/>
        </w:rPr>
        <w:t xml:space="preserve">en to PCAs, HCCNs, and NTTAPs with fewer than 500 employees.  </w:t>
      </w:r>
    </w:p>
  </w:footnote>
  <w:footnote w:id="2">
    <w:p w:rsidR="002574D9" w:rsidRDefault="002574D9" w:rsidP="002574D9">
      <w:pPr>
        <w:rPr>
          <w:rFonts w:ascii="Calibri" w:eastAsia="Calibri" w:hAnsi="Calibri" w:cs="Calibri"/>
          <w:color w:val="000000"/>
          <w:sz w:val="20"/>
          <w:szCs w:val="20"/>
          <w:vertAlign w:val="superscript"/>
        </w:rPr>
      </w:pPr>
      <w:r>
        <w:rPr>
          <w:rStyle w:val="FootnoteReference"/>
          <w:rFonts w:eastAsia="Calibri"/>
          <w:color w:val="000000"/>
          <w:sz w:val="20"/>
          <w:szCs w:val="20"/>
        </w:rPr>
        <w:footnoteRef/>
      </w:r>
      <w:r>
        <w:rPr>
          <w:rFonts w:ascii="Calibri" w:eastAsia="Calibri" w:hAnsi="Calibri" w:cs="Calibri"/>
          <w:sz w:val="20"/>
          <w:szCs w:val="20"/>
        </w:rPr>
        <w:t xml:space="preserve">  Under the CARES Act, the term ‘employee’ includes individuals employed on a full-time, part-time, or other basis. It is not by FTE. </w:t>
      </w:r>
    </w:p>
  </w:footnote>
  <w:footnote w:id="3">
    <w:p w:rsidR="002574D9" w:rsidRPr="003C30E5" w:rsidRDefault="002574D9" w:rsidP="002574D9">
      <w:pPr>
        <w:pStyle w:val="FootnoteText"/>
        <w:rPr>
          <w:rFonts w:asciiTheme="minorHAnsi" w:hAnsiTheme="minorHAnsi" w:cstheme="minorHAnsi"/>
        </w:rPr>
      </w:pPr>
      <w:r w:rsidRPr="003C30E5">
        <w:rPr>
          <w:rStyle w:val="FootnoteReference"/>
          <w:rFonts w:asciiTheme="minorHAnsi" w:eastAsia="Calibri" w:hAnsiTheme="minorHAnsi" w:cstheme="minorHAnsi"/>
        </w:rPr>
        <w:footnoteRef/>
      </w:r>
      <w:r w:rsidRPr="003C30E5">
        <w:rPr>
          <w:rFonts w:asciiTheme="minorHAnsi" w:hAnsiTheme="minorHAnsi" w:cstheme="minorHAnsi"/>
        </w:rPr>
        <w:t xml:space="preserve"> Note that while </w:t>
      </w:r>
      <w:r>
        <w:rPr>
          <w:rFonts w:asciiTheme="minorHAnsi" w:hAnsiTheme="minorHAnsi" w:cstheme="minorHAnsi"/>
        </w:rPr>
        <w:t>funds</w:t>
      </w:r>
      <w:r w:rsidRPr="003C30E5">
        <w:rPr>
          <w:rFonts w:asciiTheme="minorHAnsi" w:hAnsiTheme="minorHAnsi" w:cstheme="minorHAnsi"/>
        </w:rPr>
        <w:t xml:space="preserve"> used to pay </w:t>
      </w:r>
      <w:r w:rsidRPr="00561313">
        <w:rPr>
          <w:rFonts w:asciiTheme="minorHAnsi" w:hAnsiTheme="minorHAnsi" w:cstheme="minorHAnsi"/>
          <w:i/>
          <w:iCs/>
        </w:rPr>
        <w:t>interest</w:t>
      </w:r>
      <w:r w:rsidRPr="003C30E5">
        <w:rPr>
          <w:rFonts w:asciiTheme="minorHAnsi" w:hAnsiTheme="minorHAnsi" w:cstheme="minorHAnsi"/>
        </w:rPr>
        <w:t xml:space="preserve"> on a mortgage can be forgiven, </w:t>
      </w:r>
      <w:r>
        <w:rPr>
          <w:rFonts w:asciiTheme="minorHAnsi" w:hAnsiTheme="minorHAnsi" w:cstheme="minorHAnsi"/>
        </w:rPr>
        <w:t xml:space="preserve">funds </w:t>
      </w:r>
      <w:r w:rsidRPr="003C30E5">
        <w:rPr>
          <w:rFonts w:asciiTheme="minorHAnsi" w:hAnsiTheme="minorHAnsi" w:cstheme="minorHAnsi"/>
        </w:rPr>
        <w:t xml:space="preserve">used to pay mortgage </w:t>
      </w:r>
      <w:r w:rsidRPr="00561313">
        <w:rPr>
          <w:rFonts w:asciiTheme="minorHAnsi" w:hAnsiTheme="minorHAnsi" w:cstheme="minorHAnsi"/>
          <w:i/>
          <w:iCs/>
        </w:rPr>
        <w:t xml:space="preserve">principal </w:t>
      </w:r>
      <w:r w:rsidRPr="003C30E5">
        <w:rPr>
          <w:rFonts w:asciiTheme="minorHAnsi" w:hAnsiTheme="minorHAnsi" w:cstheme="minorHAnsi"/>
        </w:rPr>
        <w:t>cannot.</w:t>
      </w:r>
    </w:p>
  </w:footnote>
  <w:footnote w:id="4">
    <w:p w:rsidR="0027135D" w:rsidRDefault="004E451C">
      <w:pPr>
        <w:rPr>
          <w:color w:val="000000"/>
          <w:sz w:val="20"/>
          <w:szCs w:val="20"/>
          <w:vertAlign w:val="superscript"/>
        </w:rPr>
      </w:pPr>
      <w:r>
        <w:rPr>
          <w:rStyle w:val="FootnoteReference"/>
          <w:color w:val="000000"/>
          <w:sz w:val="20"/>
          <w:szCs w:val="20"/>
        </w:rPr>
        <w:footnoteRef/>
      </w:r>
      <w:r>
        <w:rPr>
          <w:sz w:val="20"/>
          <w:szCs w:val="20"/>
        </w:rPr>
        <w:t xml:space="preserve"> </w:t>
      </w:r>
      <w:r>
        <w:rPr>
          <w:rFonts w:ascii="Calibri" w:eastAsia="Calibri" w:hAnsi="Calibri" w:cs="Calibri"/>
          <w:sz w:val="20"/>
          <w:szCs w:val="20"/>
        </w:rPr>
        <w:t>Under the CARES and FFCRA , the term ‘employee’ includes individuals employed on a full-time, part-time, or other basis. It is not by FTE.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484A942C">
      <w:start w:val="1"/>
      <w:numFmt w:val="bullet"/>
      <w:lvlText w:val=""/>
      <w:lvlJc w:val="left"/>
      <w:pPr>
        <w:ind w:left="720" w:hanging="360"/>
      </w:pPr>
      <w:rPr>
        <w:rFonts w:ascii="Symbol" w:hAnsi="Symbol"/>
        <w:b w:val="0"/>
        <w:bCs w:val="0"/>
      </w:rPr>
    </w:lvl>
    <w:lvl w:ilvl="1" w:tplc="D17AAF94">
      <w:start w:val="1"/>
      <w:numFmt w:val="bullet"/>
      <w:lvlText w:val="o"/>
      <w:lvlJc w:val="left"/>
      <w:pPr>
        <w:tabs>
          <w:tab w:val="num" w:pos="1440"/>
        </w:tabs>
        <w:ind w:left="1440" w:hanging="360"/>
      </w:pPr>
      <w:rPr>
        <w:rFonts w:ascii="Courier New" w:hAnsi="Courier New"/>
      </w:rPr>
    </w:lvl>
    <w:lvl w:ilvl="2" w:tplc="5EB4BAAA">
      <w:start w:val="1"/>
      <w:numFmt w:val="bullet"/>
      <w:lvlText w:val=""/>
      <w:lvlJc w:val="left"/>
      <w:pPr>
        <w:tabs>
          <w:tab w:val="num" w:pos="2160"/>
        </w:tabs>
        <w:ind w:left="2160" w:hanging="360"/>
      </w:pPr>
      <w:rPr>
        <w:rFonts w:ascii="Wingdings" w:hAnsi="Wingdings"/>
      </w:rPr>
    </w:lvl>
    <w:lvl w:ilvl="3" w:tplc="859C2704">
      <w:start w:val="1"/>
      <w:numFmt w:val="bullet"/>
      <w:lvlText w:val=""/>
      <w:lvlJc w:val="left"/>
      <w:pPr>
        <w:tabs>
          <w:tab w:val="num" w:pos="2880"/>
        </w:tabs>
        <w:ind w:left="2880" w:hanging="360"/>
      </w:pPr>
      <w:rPr>
        <w:rFonts w:ascii="Symbol" w:hAnsi="Symbol"/>
      </w:rPr>
    </w:lvl>
    <w:lvl w:ilvl="4" w:tplc="3C70E39E">
      <w:start w:val="1"/>
      <w:numFmt w:val="bullet"/>
      <w:lvlText w:val="o"/>
      <w:lvlJc w:val="left"/>
      <w:pPr>
        <w:tabs>
          <w:tab w:val="num" w:pos="3600"/>
        </w:tabs>
        <w:ind w:left="3600" w:hanging="360"/>
      </w:pPr>
      <w:rPr>
        <w:rFonts w:ascii="Courier New" w:hAnsi="Courier New"/>
      </w:rPr>
    </w:lvl>
    <w:lvl w:ilvl="5" w:tplc="A61E7BB8">
      <w:start w:val="1"/>
      <w:numFmt w:val="bullet"/>
      <w:lvlText w:val=""/>
      <w:lvlJc w:val="left"/>
      <w:pPr>
        <w:tabs>
          <w:tab w:val="num" w:pos="4320"/>
        </w:tabs>
        <w:ind w:left="4320" w:hanging="360"/>
      </w:pPr>
      <w:rPr>
        <w:rFonts w:ascii="Wingdings" w:hAnsi="Wingdings"/>
      </w:rPr>
    </w:lvl>
    <w:lvl w:ilvl="6" w:tplc="C3CC0500">
      <w:start w:val="1"/>
      <w:numFmt w:val="bullet"/>
      <w:lvlText w:val=""/>
      <w:lvlJc w:val="left"/>
      <w:pPr>
        <w:tabs>
          <w:tab w:val="num" w:pos="5040"/>
        </w:tabs>
        <w:ind w:left="5040" w:hanging="360"/>
      </w:pPr>
      <w:rPr>
        <w:rFonts w:ascii="Symbol" w:hAnsi="Symbol"/>
      </w:rPr>
    </w:lvl>
    <w:lvl w:ilvl="7" w:tplc="415E1424">
      <w:start w:val="1"/>
      <w:numFmt w:val="bullet"/>
      <w:lvlText w:val="o"/>
      <w:lvlJc w:val="left"/>
      <w:pPr>
        <w:tabs>
          <w:tab w:val="num" w:pos="5760"/>
        </w:tabs>
        <w:ind w:left="5760" w:hanging="360"/>
      </w:pPr>
      <w:rPr>
        <w:rFonts w:ascii="Courier New" w:hAnsi="Courier New"/>
      </w:rPr>
    </w:lvl>
    <w:lvl w:ilvl="8" w:tplc="2FB836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E889B8C">
      <w:start w:val="1"/>
      <w:numFmt w:val="bullet"/>
      <w:lvlText w:val=""/>
      <w:lvlJc w:val="left"/>
      <w:pPr>
        <w:ind w:left="720" w:hanging="360"/>
      </w:pPr>
      <w:rPr>
        <w:rFonts w:ascii="Symbol" w:hAnsi="Symbol"/>
        <w:b w:val="0"/>
        <w:bCs w:val="0"/>
      </w:rPr>
    </w:lvl>
    <w:lvl w:ilvl="1" w:tplc="BBE00806">
      <w:start w:val="1"/>
      <w:numFmt w:val="bullet"/>
      <w:lvlText w:val="o"/>
      <w:lvlJc w:val="left"/>
      <w:pPr>
        <w:tabs>
          <w:tab w:val="num" w:pos="1440"/>
        </w:tabs>
        <w:ind w:left="1440" w:hanging="360"/>
      </w:pPr>
      <w:rPr>
        <w:rFonts w:ascii="Courier New" w:hAnsi="Courier New"/>
      </w:rPr>
    </w:lvl>
    <w:lvl w:ilvl="2" w:tplc="50A2D64C">
      <w:start w:val="1"/>
      <w:numFmt w:val="bullet"/>
      <w:lvlText w:val=""/>
      <w:lvlJc w:val="left"/>
      <w:pPr>
        <w:tabs>
          <w:tab w:val="num" w:pos="2160"/>
        </w:tabs>
        <w:ind w:left="2160" w:hanging="360"/>
      </w:pPr>
      <w:rPr>
        <w:rFonts w:ascii="Wingdings" w:hAnsi="Wingdings"/>
      </w:rPr>
    </w:lvl>
    <w:lvl w:ilvl="3" w:tplc="C5D884CA">
      <w:start w:val="1"/>
      <w:numFmt w:val="bullet"/>
      <w:lvlText w:val=""/>
      <w:lvlJc w:val="left"/>
      <w:pPr>
        <w:tabs>
          <w:tab w:val="num" w:pos="2880"/>
        </w:tabs>
        <w:ind w:left="2880" w:hanging="360"/>
      </w:pPr>
      <w:rPr>
        <w:rFonts w:ascii="Symbol" w:hAnsi="Symbol"/>
      </w:rPr>
    </w:lvl>
    <w:lvl w:ilvl="4" w:tplc="E1C6F440">
      <w:start w:val="1"/>
      <w:numFmt w:val="bullet"/>
      <w:lvlText w:val="o"/>
      <w:lvlJc w:val="left"/>
      <w:pPr>
        <w:tabs>
          <w:tab w:val="num" w:pos="3600"/>
        </w:tabs>
        <w:ind w:left="3600" w:hanging="360"/>
      </w:pPr>
      <w:rPr>
        <w:rFonts w:ascii="Courier New" w:hAnsi="Courier New"/>
      </w:rPr>
    </w:lvl>
    <w:lvl w:ilvl="5" w:tplc="D01C7110">
      <w:start w:val="1"/>
      <w:numFmt w:val="bullet"/>
      <w:lvlText w:val=""/>
      <w:lvlJc w:val="left"/>
      <w:pPr>
        <w:tabs>
          <w:tab w:val="num" w:pos="4320"/>
        </w:tabs>
        <w:ind w:left="4320" w:hanging="360"/>
      </w:pPr>
      <w:rPr>
        <w:rFonts w:ascii="Wingdings" w:hAnsi="Wingdings"/>
      </w:rPr>
    </w:lvl>
    <w:lvl w:ilvl="6" w:tplc="F95CE2F4">
      <w:start w:val="1"/>
      <w:numFmt w:val="bullet"/>
      <w:lvlText w:val=""/>
      <w:lvlJc w:val="left"/>
      <w:pPr>
        <w:tabs>
          <w:tab w:val="num" w:pos="5040"/>
        </w:tabs>
        <w:ind w:left="5040" w:hanging="360"/>
      </w:pPr>
      <w:rPr>
        <w:rFonts w:ascii="Symbol" w:hAnsi="Symbol"/>
      </w:rPr>
    </w:lvl>
    <w:lvl w:ilvl="7" w:tplc="4E6E6442">
      <w:start w:val="1"/>
      <w:numFmt w:val="bullet"/>
      <w:lvlText w:val="o"/>
      <w:lvlJc w:val="left"/>
      <w:pPr>
        <w:tabs>
          <w:tab w:val="num" w:pos="5760"/>
        </w:tabs>
        <w:ind w:left="5760" w:hanging="360"/>
      </w:pPr>
      <w:rPr>
        <w:rFonts w:ascii="Courier New" w:hAnsi="Courier New"/>
      </w:rPr>
    </w:lvl>
    <w:lvl w:ilvl="8" w:tplc="BFC45C6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06A5B96">
      <w:start w:val="1"/>
      <w:numFmt w:val="bullet"/>
      <w:lvlText w:val=""/>
      <w:lvlJc w:val="left"/>
      <w:pPr>
        <w:ind w:left="720" w:hanging="360"/>
      </w:pPr>
      <w:rPr>
        <w:rFonts w:ascii="Symbol" w:hAnsi="Symbol"/>
        <w:b w:val="0"/>
        <w:bCs w:val="0"/>
      </w:rPr>
    </w:lvl>
    <w:lvl w:ilvl="1" w:tplc="1158A486">
      <w:start w:val="1"/>
      <w:numFmt w:val="bullet"/>
      <w:lvlText w:val="o"/>
      <w:lvlJc w:val="left"/>
      <w:pPr>
        <w:tabs>
          <w:tab w:val="num" w:pos="1440"/>
        </w:tabs>
        <w:ind w:left="1440" w:hanging="360"/>
      </w:pPr>
      <w:rPr>
        <w:rFonts w:ascii="Courier New" w:hAnsi="Courier New"/>
      </w:rPr>
    </w:lvl>
    <w:lvl w:ilvl="2" w:tplc="40FEAF08">
      <w:start w:val="1"/>
      <w:numFmt w:val="bullet"/>
      <w:lvlText w:val=""/>
      <w:lvlJc w:val="left"/>
      <w:pPr>
        <w:tabs>
          <w:tab w:val="num" w:pos="2160"/>
        </w:tabs>
        <w:ind w:left="2160" w:hanging="360"/>
      </w:pPr>
      <w:rPr>
        <w:rFonts w:ascii="Wingdings" w:hAnsi="Wingdings"/>
      </w:rPr>
    </w:lvl>
    <w:lvl w:ilvl="3" w:tplc="3C26F45E">
      <w:start w:val="1"/>
      <w:numFmt w:val="bullet"/>
      <w:lvlText w:val=""/>
      <w:lvlJc w:val="left"/>
      <w:pPr>
        <w:tabs>
          <w:tab w:val="num" w:pos="2880"/>
        </w:tabs>
        <w:ind w:left="2880" w:hanging="360"/>
      </w:pPr>
      <w:rPr>
        <w:rFonts w:ascii="Symbol" w:hAnsi="Symbol"/>
      </w:rPr>
    </w:lvl>
    <w:lvl w:ilvl="4" w:tplc="45E02522">
      <w:start w:val="1"/>
      <w:numFmt w:val="bullet"/>
      <w:lvlText w:val="o"/>
      <w:lvlJc w:val="left"/>
      <w:pPr>
        <w:tabs>
          <w:tab w:val="num" w:pos="3600"/>
        </w:tabs>
        <w:ind w:left="3600" w:hanging="360"/>
      </w:pPr>
      <w:rPr>
        <w:rFonts w:ascii="Courier New" w:hAnsi="Courier New"/>
      </w:rPr>
    </w:lvl>
    <w:lvl w:ilvl="5" w:tplc="144023B4">
      <w:start w:val="1"/>
      <w:numFmt w:val="bullet"/>
      <w:lvlText w:val=""/>
      <w:lvlJc w:val="left"/>
      <w:pPr>
        <w:tabs>
          <w:tab w:val="num" w:pos="4320"/>
        </w:tabs>
        <w:ind w:left="4320" w:hanging="360"/>
      </w:pPr>
      <w:rPr>
        <w:rFonts w:ascii="Wingdings" w:hAnsi="Wingdings"/>
      </w:rPr>
    </w:lvl>
    <w:lvl w:ilvl="6" w:tplc="2960A3F8">
      <w:start w:val="1"/>
      <w:numFmt w:val="bullet"/>
      <w:lvlText w:val=""/>
      <w:lvlJc w:val="left"/>
      <w:pPr>
        <w:tabs>
          <w:tab w:val="num" w:pos="5040"/>
        </w:tabs>
        <w:ind w:left="5040" w:hanging="360"/>
      </w:pPr>
      <w:rPr>
        <w:rFonts w:ascii="Symbol" w:hAnsi="Symbol"/>
      </w:rPr>
    </w:lvl>
    <w:lvl w:ilvl="7" w:tplc="DB42FAE4">
      <w:start w:val="1"/>
      <w:numFmt w:val="bullet"/>
      <w:lvlText w:val="o"/>
      <w:lvlJc w:val="left"/>
      <w:pPr>
        <w:tabs>
          <w:tab w:val="num" w:pos="5760"/>
        </w:tabs>
        <w:ind w:left="5760" w:hanging="360"/>
      </w:pPr>
      <w:rPr>
        <w:rFonts w:ascii="Courier New" w:hAnsi="Courier New"/>
      </w:rPr>
    </w:lvl>
    <w:lvl w:ilvl="8" w:tplc="81A6642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042385A">
      <w:start w:val="1"/>
      <w:numFmt w:val="bullet"/>
      <w:lvlText w:val=""/>
      <w:lvlJc w:val="left"/>
      <w:pPr>
        <w:ind w:left="720" w:hanging="360"/>
      </w:pPr>
      <w:rPr>
        <w:rFonts w:ascii="Symbol" w:hAnsi="Symbol"/>
        <w:b w:val="0"/>
        <w:bCs w:val="0"/>
      </w:rPr>
    </w:lvl>
    <w:lvl w:ilvl="1" w:tplc="56AEC0A0">
      <w:start w:val="1"/>
      <w:numFmt w:val="bullet"/>
      <w:lvlText w:val="o"/>
      <w:lvlJc w:val="left"/>
      <w:pPr>
        <w:tabs>
          <w:tab w:val="num" w:pos="1440"/>
        </w:tabs>
        <w:ind w:left="1440" w:hanging="360"/>
      </w:pPr>
      <w:rPr>
        <w:rFonts w:ascii="Courier New" w:hAnsi="Courier New"/>
      </w:rPr>
    </w:lvl>
    <w:lvl w:ilvl="2" w:tplc="45145D90">
      <w:start w:val="1"/>
      <w:numFmt w:val="bullet"/>
      <w:lvlText w:val=""/>
      <w:lvlJc w:val="left"/>
      <w:pPr>
        <w:tabs>
          <w:tab w:val="num" w:pos="2160"/>
        </w:tabs>
        <w:ind w:left="2160" w:hanging="360"/>
      </w:pPr>
      <w:rPr>
        <w:rFonts w:ascii="Wingdings" w:hAnsi="Wingdings"/>
      </w:rPr>
    </w:lvl>
    <w:lvl w:ilvl="3" w:tplc="EE001348">
      <w:start w:val="1"/>
      <w:numFmt w:val="bullet"/>
      <w:lvlText w:val=""/>
      <w:lvlJc w:val="left"/>
      <w:pPr>
        <w:tabs>
          <w:tab w:val="num" w:pos="2880"/>
        </w:tabs>
        <w:ind w:left="2880" w:hanging="360"/>
      </w:pPr>
      <w:rPr>
        <w:rFonts w:ascii="Symbol" w:hAnsi="Symbol"/>
      </w:rPr>
    </w:lvl>
    <w:lvl w:ilvl="4" w:tplc="FA8219AE">
      <w:start w:val="1"/>
      <w:numFmt w:val="bullet"/>
      <w:lvlText w:val="o"/>
      <w:lvlJc w:val="left"/>
      <w:pPr>
        <w:tabs>
          <w:tab w:val="num" w:pos="3600"/>
        </w:tabs>
        <w:ind w:left="3600" w:hanging="360"/>
      </w:pPr>
      <w:rPr>
        <w:rFonts w:ascii="Courier New" w:hAnsi="Courier New"/>
      </w:rPr>
    </w:lvl>
    <w:lvl w:ilvl="5" w:tplc="A1ACE84C">
      <w:start w:val="1"/>
      <w:numFmt w:val="bullet"/>
      <w:lvlText w:val=""/>
      <w:lvlJc w:val="left"/>
      <w:pPr>
        <w:tabs>
          <w:tab w:val="num" w:pos="4320"/>
        </w:tabs>
        <w:ind w:left="4320" w:hanging="360"/>
      </w:pPr>
      <w:rPr>
        <w:rFonts w:ascii="Wingdings" w:hAnsi="Wingdings"/>
      </w:rPr>
    </w:lvl>
    <w:lvl w:ilvl="6" w:tplc="5BBEDDCE">
      <w:start w:val="1"/>
      <w:numFmt w:val="bullet"/>
      <w:lvlText w:val=""/>
      <w:lvlJc w:val="left"/>
      <w:pPr>
        <w:tabs>
          <w:tab w:val="num" w:pos="5040"/>
        </w:tabs>
        <w:ind w:left="5040" w:hanging="360"/>
      </w:pPr>
      <w:rPr>
        <w:rFonts w:ascii="Symbol" w:hAnsi="Symbol"/>
      </w:rPr>
    </w:lvl>
    <w:lvl w:ilvl="7" w:tplc="D8F4999C">
      <w:start w:val="1"/>
      <w:numFmt w:val="bullet"/>
      <w:lvlText w:val="o"/>
      <w:lvlJc w:val="left"/>
      <w:pPr>
        <w:tabs>
          <w:tab w:val="num" w:pos="5760"/>
        </w:tabs>
        <w:ind w:left="5760" w:hanging="360"/>
      </w:pPr>
      <w:rPr>
        <w:rFonts w:ascii="Courier New" w:hAnsi="Courier New"/>
      </w:rPr>
    </w:lvl>
    <w:lvl w:ilvl="8" w:tplc="7276997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0D40484">
      <w:start w:val="1"/>
      <w:numFmt w:val="bullet"/>
      <w:lvlText w:val=""/>
      <w:lvlJc w:val="left"/>
      <w:pPr>
        <w:ind w:left="720" w:hanging="360"/>
      </w:pPr>
      <w:rPr>
        <w:rFonts w:ascii="Symbol" w:hAnsi="Symbol"/>
        <w:b w:val="0"/>
        <w:bCs w:val="0"/>
      </w:rPr>
    </w:lvl>
    <w:lvl w:ilvl="1" w:tplc="9F94676A">
      <w:start w:val="1"/>
      <w:numFmt w:val="bullet"/>
      <w:lvlText w:val="o"/>
      <w:lvlJc w:val="left"/>
      <w:pPr>
        <w:tabs>
          <w:tab w:val="num" w:pos="1440"/>
        </w:tabs>
        <w:ind w:left="1440" w:hanging="360"/>
      </w:pPr>
      <w:rPr>
        <w:rFonts w:ascii="Courier New" w:hAnsi="Courier New"/>
      </w:rPr>
    </w:lvl>
    <w:lvl w:ilvl="2" w:tplc="B02E5A30">
      <w:start w:val="1"/>
      <w:numFmt w:val="bullet"/>
      <w:lvlText w:val=""/>
      <w:lvlJc w:val="left"/>
      <w:pPr>
        <w:tabs>
          <w:tab w:val="num" w:pos="2160"/>
        </w:tabs>
        <w:ind w:left="2160" w:hanging="360"/>
      </w:pPr>
      <w:rPr>
        <w:rFonts w:ascii="Wingdings" w:hAnsi="Wingdings"/>
      </w:rPr>
    </w:lvl>
    <w:lvl w:ilvl="3" w:tplc="382657D4">
      <w:start w:val="1"/>
      <w:numFmt w:val="bullet"/>
      <w:lvlText w:val=""/>
      <w:lvlJc w:val="left"/>
      <w:pPr>
        <w:tabs>
          <w:tab w:val="num" w:pos="2880"/>
        </w:tabs>
        <w:ind w:left="2880" w:hanging="360"/>
      </w:pPr>
      <w:rPr>
        <w:rFonts w:ascii="Symbol" w:hAnsi="Symbol"/>
      </w:rPr>
    </w:lvl>
    <w:lvl w:ilvl="4" w:tplc="CFA6C1EA">
      <w:start w:val="1"/>
      <w:numFmt w:val="bullet"/>
      <w:lvlText w:val="o"/>
      <w:lvlJc w:val="left"/>
      <w:pPr>
        <w:tabs>
          <w:tab w:val="num" w:pos="3600"/>
        </w:tabs>
        <w:ind w:left="3600" w:hanging="360"/>
      </w:pPr>
      <w:rPr>
        <w:rFonts w:ascii="Courier New" w:hAnsi="Courier New"/>
      </w:rPr>
    </w:lvl>
    <w:lvl w:ilvl="5" w:tplc="DAD00408">
      <w:start w:val="1"/>
      <w:numFmt w:val="bullet"/>
      <w:lvlText w:val=""/>
      <w:lvlJc w:val="left"/>
      <w:pPr>
        <w:tabs>
          <w:tab w:val="num" w:pos="4320"/>
        </w:tabs>
        <w:ind w:left="4320" w:hanging="360"/>
      </w:pPr>
      <w:rPr>
        <w:rFonts w:ascii="Wingdings" w:hAnsi="Wingdings"/>
      </w:rPr>
    </w:lvl>
    <w:lvl w:ilvl="6" w:tplc="24E8484E">
      <w:start w:val="1"/>
      <w:numFmt w:val="bullet"/>
      <w:lvlText w:val=""/>
      <w:lvlJc w:val="left"/>
      <w:pPr>
        <w:tabs>
          <w:tab w:val="num" w:pos="5040"/>
        </w:tabs>
        <w:ind w:left="5040" w:hanging="360"/>
      </w:pPr>
      <w:rPr>
        <w:rFonts w:ascii="Symbol" w:hAnsi="Symbol"/>
      </w:rPr>
    </w:lvl>
    <w:lvl w:ilvl="7" w:tplc="6C684F94">
      <w:start w:val="1"/>
      <w:numFmt w:val="bullet"/>
      <w:lvlText w:val="o"/>
      <w:lvlJc w:val="left"/>
      <w:pPr>
        <w:tabs>
          <w:tab w:val="num" w:pos="5760"/>
        </w:tabs>
        <w:ind w:left="5760" w:hanging="360"/>
      </w:pPr>
      <w:rPr>
        <w:rFonts w:ascii="Courier New" w:hAnsi="Courier New"/>
      </w:rPr>
    </w:lvl>
    <w:lvl w:ilvl="8" w:tplc="31FA907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752A670">
      <w:start w:val="1"/>
      <w:numFmt w:val="bullet"/>
      <w:lvlText w:val=""/>
      <w:lvlJc w:val="left"/>
      <w:pPr>
        <w:ind w:left="720" w:hanging="360"/>
      </w:pPr>
      <w:rPr>
        <w:rFonts w:ascii="Symbol" w:hAnsi="Symbol"/>
        <w:b w:val="0"/>
        <w:bCs w:val="0"/>
      </w:rPr>
    </w:lvl>
    <w:lvl w:ilvl="1" w:tplc="8EF26650">
      <w:start w:val="1"/>
      <w:numFmt w:val="bullet"/>
      <w:lvlText w:val="o"/>
      <w:lvlJc w:val="left"/>
      <w:pPr>
        <w:tabs>
          <w:tab w:val="num" w:pos="1440"/>
        </w:tabs>
        <w:ind w:left="1440" w:hanging="360"/>
      </w:pPr>
      <w:rPr>
        <w:rFonts w:ascii="Courier New" w:hAnsi="Courier New"/>
      </w:rPr>
    </w:lvl>
    <w:lvl w:ilvl="2" w:tplc="632AA896">
      <w:start w:val="1"/>
      <w:numFmt w:val="bullet"/>
      <w:lvlText w:val=""/>
      <w:lvlJc w:val="left"/>
      <w:pPr>
        <w:tabs>
          <w:tab w:val="num" w:pos="2160"/>
        </w:tabs>
        <w:ind w:left="2160" w:hanging="360"/>
      </w:pPr>
      <w:rPr>
        <w:rFonts w:ascii="Wingdings" w:hAnsi="Wingdings"/>
      </w:rPr>
    </w:lvl>
    <w:lvl w:ilvl="3" w:tplc="1834F3E6">
      <w:start w:val="1"/>
      <w:numFmt w:val="bullet"/>
      <w:lvlText w:val=""/>
      <w:lvlJc w:val="left"/>
      <w:pPr>
        <w:tabs>
          <w:tab w:val="num" w:pos="2880"/>
        </w:tabs>
        <w:ind w:left="2880" w:hanging="360"/>
      </w:pPr>
      <w:rPr>
        <w:rFonts w:ascii="Symbol" w:hAnsi="Symbol"/>
      </w:rPr>
    </w:lvl>
    <w:lvl w:ilvl="4" w:tplc="6C1A8172">
      <w:start w:val="1"/>
      <w:numFmt w:val="bullet"/>
      <w:lvlText w:val="o"/>
      <w:lvlJc w:val="left"/>
      <w:pPr>
        <w:tabs>
          <w:tab w:val="num" w:pos="3600"/>
        </w:tabs>
        <w:ind w:left="3600" w:hanging="360"/>
      </w:pPr>
      <w:rPr>
        <w:rFonts w:ascii="Courier New" w:hAnsi="Courier New"/>
      </w:rPr>
    </w:lvl>
    <w:lvl w:ilvl="5" w:tplc="5C8AAABA">
      <w:start w:val="1"/>
      <w:numFmt w:val="bullet"/>
      <w:lvlText w:val=""/>
      <w:lvlJc w:val="left"/>
      <w:pPr>
        <w:tabs>
          <w:tab w:val="num" w:pos="4320"/>
        </w:tabs>
        <w:ind w:left="4320" w:hanging="360"/>
      </w:pPr>
      <w:rPr>
        <w:rFonts w:ascii="Wingdings" w:hAnsi="Wingdings"/>
      </w:rPr>
    </w:lvl>
    <w:lvl w:ilvl="6" w:tplc="282C83FA">
      <w:start w:val="1"/>
      <w:numFmt w:val="bullet"/>
      <w:lvlText w:val=""/>
      <w:lvlJc w:val="left"/>
      <w:pPr>
        <w:tabs>
          <w:tab w:val="num" w:pos="5040"/>
        </w:tabs>
        <w:ind w:left="5040" w:hanging="360"/>
      </w:pPr>
      <w:rPr>
        <w:rFonts w:ascii="Symbol" w:hAnsi="Symbol"/>
      </w:rPr>
    </w:lvl>
    <w:lvl w:ilvl="7" w:tplc="6E180B38">
      <w:start w:val="1"/>
      <w:numFmt w:val="bullet"/>
      <w:lvlText w:val="o"/>
      <w:lvlJc w:val="left"/>
      <w:pPr>
        <w:tabs>
          <w:tab w:val="num" w:pos="5760"/>
        </w:tabs>
        <w:ind w:left="5760" w:hanging="360"/>
      </w:pPr>
      <w:rPr>
        <w:rFonts w:ascii="Courier New" w:hAnsi="Courier New"/>
      </w:rPr>
    </w:lvl>
    <w:lvl w:ilvl="8" w:tplc="BE6005A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F8ABC6">
      <w:start w:val="1"/>
      <w:numFmt w:val="bullet"/>
      <w:lvlText w:val=""/>
      <w:lvlJc w:val="left"/>
      <w:pPr>
        <w:ind w:left="720" w:hanging="360"/>
      </w:pPr>
      <w:rPr>
        <w:rFonts w:ascii="Symbol" w:hAnsi="Symbol"/>
        <w:b w:val="0"/>
        <w:bCs w:val="0"/>
      </w:rPr>
    </w:lvl>
    <w:lvl w:ilvl="1" w:tplc="500C315A">
      <w:start w:val="1"/>
      <w:numFmt w:val="bullet"/>
      <w:lvlText w:val="o"/>
      <w:lvlJc w:val="left"/>
      <w:pPr>
        <w:tabs>
          <w:tab w:val="num" w:pos="1440"/>
        </w:tabs>
        <w:ind w:left="1440" w:hanging="360"/>
      </w:pPr>
      <w:rPr>
        <w:rFonts w:ascii="Courier New" w:hAnsi="Courier New"/>
      </w:rPr>
    </w:lvl>
    <w:lvl w:ilvl="2" w:tplc="AC0027B4">
      <w:start w:val="1"/>
      <w:numFmt w:val="bullet"/>
      <w:lvlText w:val=""/>
      <w:lvlJc w:val="left"/>
      <w:pPr>
        <w:tabs>
          <w:tab w:val="num" w:pos="2160"/>
        </w:tabs>
        <w:ind w:left="2160" w:hanging="360"/>
      </w:pPr>
      <w:rPr>
        <w:rFonts w:ascii="Wingdings" w:hAnsi="Wingdings"/>
      </w:rPr>
    </w:lvl>
    <w:lvl w:ilvl="3" w:tplc="7A020E16">
      <w:start w:val="1"/>
      <w:numFmt w:val="bullet"/>
      <w:lvlText w:val=""/>
      <w:lvlJc w:val="left"/>
      <w:pPr>
        <w:tabs>
          <w:tab w:val="num" w:pos="2880"/>
        </w:tabs>
        <w:ind w:left="2880" w:hanging="360"/>
      </w:pPr>
      <w:rPr>
        <w:rFonts w:ascii="Symbol" w:hAnsi="Symbol"/>
      </w:rPr>
    </w:lvl>
    <w:lvl w:ilvl="4" w:tplc="C11CC80C">
      <w:start w:val="1"/>
      <w:numFmt w:val="bullet"/>
      <w:lvlText w:val="o"/>
      <w:lvlJc w:val="left"/>
      <w:pPr>
        <w:tabs>
          <w:tab w:val="num" w:pos="3600"/>
        </w:tabs>
        <w:ind w:left="3600" w:hanging="360"/>
      </w:pPr>
      <w:rPr>
        <w:rFonts w:ascii="Courier New" w:hAnsi="Courier New"/>
      </w:rPr>
    </w:lvl>
    <w:lvl w:ilvl="5" w:tplc="0B26EF04">
      <w:start w:val="1"/>
      <w:numFmt w:val="bullet"/>
      <w:lvlText w:val=""/>
      <w:lvlJc w:val="left"/>
      <w:pPr>
        <w:tabs>
          <w:tab w:val="num" w:pos="4320"/>
        </w:tabs>
        <w:ind w:left="4320" w:hanging="360"/>
      </w:pPr>
      <w:rPr>
        <w:rFonts w:ascii="Wingdings" w:hAnsi="Wingdings"/>
      </w:rPr>
    </w:lvl>
    <w:lvl w:ilvl="6" w:tplc="335801FC">
      <w:start w:val="1"/>
      <w:numFmt w:val="bullet"/>
      <w:lvlText w:val=""/>
      <w:lvlJc w:val="left"/>
      <w:pPr>
        <w:tabs>
          <w:tab w:val="num" w:pos="5040"/>
        </w:tabs>
        <w:ind w:left="5040" w:hanging="360"/>
      </w:pPr>
      <w:rPr>
        <w:rFonts w:ascii="Symbol" w:hAnsi="Symbol"/>
      </w:rPr>
    </w:lvl>
    <w:lvl w:ilvl="7" w:tplc="751424BE">
      <w:start w:val="1"/>
      <w:numFmt w:val="bullet"/>
      <w:lvlText w:val="o"/>
      <w:lvlJc w:val="left"/>
      <w:pPr>
        <w:tabs>
          <w:tab w:val="num" w:pos="5760"/>
        </w:tabs>
        <w:ind w:left="5760" w:hanging="360"/>
      </w:pPr>
      <w:rPr>
        <w:rFonts w:ascii="Courier New" w:hAnsi="Courier New"/>
      </w:rPr>
    </w:lvl>
    <w:lvl w:ilvl="8" w:tplc="101443D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DC871D4">
      <w:start w:val="1"/>
      <w:numFmt w:val="bullet"/>
      <w:lvlText w:val=""/>
      <w:lvlJc w:val="left"/>
      <w:pPr>
        <w:ind w:left="720" w:hanging="360"/>
      </w:pPr>
      <w:rPr>
        <w:rFonts w:ascii="Symbol" w:hAnsi="Symbol"/>
        <w:b w:val="0"/>
        <w:bCs w:val="0"/>
      </w:rPr>
    </w:lvl>
    <w:lvl w:ilvl="1" w:tplc="58A8AE92">
      <w:start w:val="1"/>
      <w:numFmt w:val="bullet"/>
      <w:lvlText w:val="o"/>
      <w:lvlJc w:val="left"/>
      <w:pPr>
        <w:tabs>
          <w:tab w:val="num" w:pos="1440"/>
        </w:tabs>
        <w:ind w:left="1440" w:hanging="360"/>
      </w:pPr>
      <w:rPr>
        <w:rFonts w:ascii="Courier New" w:hAnsi="Courier New"/>
      </w:rPr>
    </w:lvl>
    <w:lvl w:ilvl="2" w:tplc="82DA4D20">
      <w:start w:val="1"/>
      <w:numFmt w:val="bullet"/>
      <w:lvlText w:val=""/>
      <w:lvlJc w:val="left"/>
      <w:pPr>
        <w:tabs>
          <w:tab w:val="num" w:pos="2160"/>
        </w:tabs>
        <w:ind w:left="2160" w:hanging="360"/>
      </w:pPr>
      <w:rPr>
        <w:rFonts w:ascii="Wingdings" w:hAnsi="Wingdings"/>
      </w:rPr>
    </w:lvl>
    <w:lvl w:ilvl="3" w:tplc="5C78CEDC">
      <w:start w:val="1"/>
      <w:numFmt w:val="bullet"/>
      <w:lvlText w:val=""/>
      <w:lvlJc w:val="left"/>
      <w:pPr>
        <w:tabs>
          <w:tab w:val="num" w:pos="2880"/>
        </w:tabs>
        <w:ind w:left="2880" w:hanging="360"/>
      </w:pPr>
      <w:rPr>
        <w:rFonts w:ascii="Symbol" w:hAnsi="Symbol"/>
      </w:rPr>
    </w:lvl>
    <w:lvl w:ilvl="4" w:tplc="6A0251EE">
      <w:start w:val="1"/>
      <w:numFmt w:val="bullet"/>
      <w:lvlText w:val="o"/>
      <w:lvlJc w:val="left"/>
      <w:pPr>
        <w:tabs>
          <w:tab w:val="num" w:pos="3600"/>
        </w:tabs>
        <w:ind w:left="3600" w:hanging="360"/>
      </w:pPr>
      <w:rPr>
        <w:rFonts w:ascii="Courier New" w:hAnsi="Courier New"/>
      </w:rPr>
    </w:lvl>
    <w:lvl w:ilvl="5" w:tplc="AC581C36">
      <w:start w:val="1"/>
      <w:numFmt w:val="bullet"/>
      <w:lvlText w:val=""/>
      <w:lvlJc w:val="left"/>
      <w:pPr>
        <w:tabs>
          <w:tab w:val="num" w:pos="4320"/>
        </w:tabs>
        <w:ind w:left="4320" w:hanging="360"/>
      </w:pPr>
      <w:rPr>
        <w:rFonts w:ascii="Wingdings" w:hAnsi="Wingdings"/>
      </w:rPr>
    </w:lvl>
    <w:lvl w:ilvl="6" w:tplc="B588BB18">
      <w:start w:val="1"/>
      <w:numFmt w:val="bullet"/>
      <w:lvlText w:val=""/>
      <w:lvlJc w:val="left"/>
      <w:pPr>
        <w:tabs>
          <w:tab w:val="num" w:pos="5040"/>
        </w:tabs>
        <w:ind w:left="5040" w:hanging="360"/>
      </w:pPr>
      <w:rPr>
        <w:rFonts w:ascii="Symbol" w:hAnsi="Symbol"/>
      </w:rPr>
    </w:lvl>
    <w:lvl w:ilvl="7" w:tplc="17F464E4">
      <w:start w:val="1"/>
      <w:numFmt w:val="bullet"/>
      <w:lvlText w:val="o"/>
      <w:lvlJc w:val="left"/>
      <w:pPr>
        <w:tabs>
          <w:tab w:val="num" w:pos="5760"/>
        </w:tabs>
        <w:ind w:left="5760" w:hanging="360"/>
      </w:pPr>
      <w:rPr>
        <w:rFonts w:ascii="Courier New" w:hAnsi="Courier New"/>
      </w:rPr>
    </w:lvl>
    <w:lvl w:ilvl="8" w:tplc="050CE714">
      <w:start w:val="1"/>
      <w:numFmt w:val="bullet"/>
      <w:lvlText w:val=""/>
      <w:lvlJc w:val="left"/>
      <w:pPr>
        <w:tabs>
          <w:tab w:val="num" w:pos="6480"/>
        </w:tabs>
        <w:ind w:left="6480" w:hanging="360"/>
      </w:pPr>
      <w:rPr>
        <w:rFonts w:ascii="Wingdings" w:hAnsi="Wingdings"/>
      </w:rPr>
    </w:lvl>
  </w:abstractNum>
  <w:abstractNum w:abstractNumId="8" w15:restartNumberingAfterBreak="0">
    <w:nsid w:val="07296CF5"/>
    <w:multiLevelType w:val="hybridMultilevel"/>
    <w:tmpl w:val="5E28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1F1794"/>
    <w:multiLevelType w:val="hybridMultilevel"/>
    <w:tmpl w:val="8C72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26C9F"/>
    <w:multiLevelType w:val="multilevel"/>
    <w:tmpl w:val="98E05E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586CC2"/>
    <w:multiLevelType w:val="multilevel"/>
    <w:tmpl w:val="5464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A1BF6"/>
    <w:multiLevelType w:val="hybridMultilevel"/>
    <w:tmpl w:val="AD1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B4B73"/>
    <w:multiLevelType w:val="hybridMultilevel"/>
    <w:tmpl w:val="91363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A6F1E67"/>
    <w:multiLevelType w:val="hybridMultilevel"/>
    <w:tmpl w:val="F8D824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1F71F7D"/>
    <w:multiLevelType w:val="hybridMultilevel"/>
    <w:tmpl w:val="5B2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A424A"/>
    <w:multiLevelType w:val="hybridMultilevel"/>
    <w:tmpl w:val="8888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A1169"/>
    <w:multiLevelType w:val="hybridMultilevel"/>
    <w:tmpl w:val="58A055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885484"/>
    <w:multiLevelType w:val="hybridMultilevel"/>
    <w:tmpl w:val="4D5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72A8"/>
    <w:multiLevelType w:val="hybridMultilevel"/>
    <w:tmpl w:val="F2E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7"/>
  </w:num>
  <w:num w:numId="12">
    <w:abstractNumId w:val="18"/>
  </w:num>
  <w:num w:numId="13">
    <w:abstractNumId w:val="19"/>
  </w:num>
  <w:num w:numId="14">
    <w:abstractNumId w:val="9"/>
  </w:num>
  <w:num w:numId="15">
    <w:abstractNumId w:val="11"/>
  </w:num>
  <w:num w:numId="16">
    <w:abstractNumId w:val="14"/>
  </w:num>
  <w:num w:numId="17">
    <w:abstractNumId w:val="15"/>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D"/>
    <w:rsid w:val="000151DA"/>
    <w:rsid w:val="00061020"/>
    <w:rsid w:val="000B225A"/>
    <w:rsid w:val="00142F79"/>
    <w:rsid w:val="00192162"/>
    <w:rsid w:val="001C3211"/>
    <w:rsid w:val="002038C8"/>
    <w:rsid w:val="00250AA1"/>
    <w:rsid w:val="002574D9"/>
    <w:rsid w:val="0027135D"/>
    <w:rsid w:val="00291D11"/>
    <w:rsid w:val="00295F20"/>
    <w:rsid w:val="002A2002"/>
    <w:rsid w:val="002D5955"/>
    <w:rsid w:val="00377491"/>
    <w:rsid w:val="003807A7"/>
    <w:rsid w:val="00385FC6"/>
    <w:rsid w:val="00394706"/>
    <w:rsid w:val="00397D6B"/>
    <w:rsid w:val="003C30E5"/>
    <w:rsid w:val="00427A8D"/>
    <w:rsid w:val="004840B3"/>
    <w:rsid w:val="004A0583"/>
    <w:rsid w:val="004C2EE5"/>
    <w:rsid w:val="004E451C"/>
    <w:rsid w:val="0052389B"/>
    <w:rsid w:val="00555511"/>
    <w:rsid w:val="00564DEE"/>
    <w:rsid w:val="00574FCE"/>
    <w:rsid w:val="005A1B19"/>
    <w:rsid w:val="00607336"/>
    <w:rsid w:val="006D52A1"/>
    <w:rsid w:val="00720936"/>
    <w:rsid w:val="007320FE"/>
    <w:rsid w:val="007321A6"/>
    <w:rsid w:val="00784C8B"/>
    <w:rsid w:val="00791C79"/>
    <w:rsid w:val="0079560A"/>
    <w:rsid w:val="007A2F6E"/>
    <w:rsid w:val="008A5F3F"/>
    <w:rsid w:val="008C0D05"/>
    <w:rsid w:val="008E359A"/>
    <w:rsid w:val="00901A13"/>
    <w:rsid w:val="009219BF"/>
    <w:rsid w:val="0093797F"/>
    <w:rsid w:val="009610B5"/>
    <w:rsid w:val="00966B79"/>
    <w:rsid w:val="009A0F59"/>
    <w:rsid w:val="009A1D8B"/>
    <w:rsid w:val="009D24CA"/>
    <w:rsid w:val="00A1094D"/>
    <w:rsid w:val="00A36324"/>
    <w:rsid w:val="00A61574"/>
    <w:rsid w:val="00AD6A46"/>
    <w:rsid w:val="00AD7A31"/>
    <w:rsid w:val="00AF087E"/>
    <w:rsid w:val="00AF1717"/>
    <w:rsid w:val="00B35241"/>
    <w:rsid w:val="00B40E2A"/>
    <w:rsid w:val="00B56515"/>
    <w:rsid w:val="00B801C7"/>
    <w:rsid w:val="00BA2C76"/>
    <w:rsid w:val="00C035FA"/>
    <w:rsid w:val="00CA1617"/>
    <w:rsid w:val="00CB0FAA"/>
    <w:rsid w:val="00CB44B6"/>
    <w:rsid w:val="00CB54E2"/>
    <w:rsid w:val="00CD3C9F"/>
    <w:rsid w:val="00CE22C6"/>
    <w:rsid w:val="00D16B19"/>
    <w:rsid w:val="00D22574"/>
    <w:rsid w:val="00D625D0"/>
    <w:rsid w:val="00DC3E19"/>
    <w:rsid w:val="00E34C5E"/>
    <w:rsid w:val="00F064FD"/>
    <w:rsid w:val="00F8419E"/>
    <w:rsid w:val="00FC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82DAD-8DE2-4457-81DD-C2775B5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34C5E"/>
    <w:pPr>
      <w:jc w:val="center"/>
      <w:outlineLvl w:val="0"/>
    </w:pPr>
    <w:rPr>
      <w:rFonts w:ascii="Calibri" w:eastAsia="Calibri" w:hAnsi="Calibri" w:cs="Calibri"/>
      <w:b/>
      <w:bCs/>
      <w:sz w:val="28"/>
      <w:szCs w:val="2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rsid w:val="00805BCE"/>
    <w:rPr>
      <w:sz w:val="20"/>
      <w:szCs w:val="20"/>
    </w:rPr>
  </w:style>
  <w:style w:type="paragraph" w:styleId="Header">
    <w:name w:val="header"/>
    <w:basedOn w:val="Normal"/>
    <w:link w:val="HeaderChar"/>
    <w:uiPriority w:val="99"/>
    <w:unhideWhenUsed/>
    <w:rsid w:val="00784C8B"/>
    <w:pPr>
      <w:tabs>
        <w:tab w:val="center" w:pos="4680"/>
        <w:tab w:val="right" w:pos="9360"/>
      </w:tabs>
    </w:pPr>
  </w:style>
  <w:style w:type="character" w:customStyle="1" w:styleId="HeaderChar">
    <w:name w:val="Header Char"/>
    <w:basedOn w:val="DefaultParagraphFont"/>
    <w:link w:val="Header"/>
    <w:uiPriority w:val="99"/>
    <w:rsid w:val="00784C8B"/>
    <w:rPr>
      <w:sz w:val="24"/>
      <w:szCs w:val="24"/>
    </w:rPr>
  </w:style>
  <w:style w:type="paragraph" w:styleId="Footer">
    <w:name w:val="footer"/>
    <w:basedOn w:val="Normal"/>
    <w:link w:val="FooterChar"/>
    <w:uiPriority w:val="99"/>
    <w:unhideWhenUsed/>
    <w:rsid w:val="00784C8B"/>
    <w:pPr>
      <w:tabs>
        <w:tab w:val="center" w:pos="4680"/>
        <w:tab w:val="right" w:pos="9360"/>
      </w:tabs>
    </w:pPr>
  </w:style>
  <w:style w:type="character" w:customStyle="1" w:styleId="FooterChar">
    <w:name w:val="Footer Char"/>
    <w:basedOn w:val="DefaultParagraphFont"/>
    <w:link w:val="Footer"/>
    <w:uiPriority w:val="99"/>
    <w:rsid w:val="00784C8B"/>
    <w:rPr>
      <w:sz w:val="24"/>
      <w:szCs w:val="24"/>
    </w:rPr>
  </w:style>
  <w:style w:type="paragraph" w:styleId="ListParagraph">
    <w:name w:val="List Paragraph"/>
    <w:basedOn w:val="Normal"/>
    <w:uiPriority w:val="34"/>
    <w:qFormat/>
    <w:rsid w:val="009219B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219BF"/>
    <w:rPr>
      <w:color w:val="0563C1"/>
      <w:u w:val="single"/>
    </w:rPr>
  </w:style>
  <w:style w:type="table" w:styleId="TableGrid">
    <w:name w:val="Table Grid"/>
    <w:basedOn w:val="TableNormal"/>
    <w:uiPriority w:val="59"/>
    <w:unhideWhenUsed/>
    <w:rsid w:val="0037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16B19"/>
    <w:rPr>
      <w:color w:val="605E5C"/>
      <w:shd w:val="clear" w:color="auto" w:fill="E1DFDD"/>
    </w:rPr>
  </w:style>
  <w:style w:type="paragraph" w:styleId="BalloonText">
    <w:name w:val="Balloon Text"/>
    <w:basedOn w:val="Normal"/>
    <w:link w:val="BalloonTextChar"/>
    <w:uiPriority w:val="99"/>
    <w:semiHidden/>
    <w:unhideWhenUsed/>
    <w:rsid w:val="0093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7F"/>
    <w:rPr>
      <w:rFonts w:ascii="Segoe UI" w:hAnsi="Segoe UI" w:cs="Segoe UI"/>
      <w:sz w:val="18"/>
      <w:szCs w:val="18"/>
    </w:rPr>
  </w:style>
  <w:style w:type="paragraph" w:styleId="NormalWeb">
    <w:name w:val="Normal (Web)"/>
    <w:basedOn w:val="Normal"/>
    <w:uiPriority w:val="99"/>
    <w:unhideWhenUsed/>
    <w:rsid w:val="00AF087E"/>
    <w:pPr>
      <w:spacing w:before="100" w:beforeAutospacing="1" w:after="100" w:afterAutospacing="1"/>
    </w:pPr>
  </w:style>
  <w:style w:type="character" w:styleId="Emphasis">
    <w:name w:val="Emphasis"/>
    <w:basedOn w:val="DefaultParagraphFont"/>
    <w:uiPriority w:val="20"/>
    <w:qFormat/>
    <w:rsid w:val="00AF087E"/>
    <w:rPr>
      <w:i/>
      <w:iCs/>
    </w:rPr>
  </w:style>
  <w:style w:type="character" w:customStyle="1" w:styleId="highlight">
    <w:name w:val="highlight"/>
    <w:basedOn w:val="DefaultParagraphFont"/>
    <w:rsid w:val="00AF087E"/>
  </w:style>
  <w:style w:type="character" w:styleId="FollowedHyperlink">
    <w:name w:val="FollowedHyperlink"/>
    <w:basedOn w:val="DefaultParagraphFont"/>
    <w:uiPriority w:val="99"/>
    <w:semiHidden/>
    <w:unhideWhenUsed/>
    <w:rsid w:val="008E359A"/>
    <w:rPr>
      <w:color w:val="954F72" w:themeColor="followedHyperlink"/>
      <w:u w:val="single"/>
    </w:rPr>
  </w:style>
  <w:style w:type="paragraph" w:customStyle="1" w:styleId="Default">
    <w:name w:val="Default"/>
    <w:rsid w:val="008E359A"/>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4A0583"/>
  </w:style>
  <w:style w:type="character" w:styleId="Strong">
    <w:name w:val="Strong"/>
    <w:basedOn w:val="DefaultParagraphFont"/>
    <w:uiPriority w:val="22"/>
    <w:qFormat/>
    <w:rsid w:val="002D5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71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sChild>
        <w:div w:id="598951145">
          <w:marLeft w:val="0"/>
          <w:marRight w:val="0"/>
          <w:marTop w:val="0"/>
          <w:marBottom w:val="0"/>
          <w:divBdr>
            <w:top w:val="none" w:sz="0" w:space="0" w:color="auto"/>
            <w:left w:val="none" w:sz="0" w:space="0" w:color="auto"/>
            <w:bottom w:val="none" w:sz="0" w:space="0" w:color="auto"/>
            <w:right w:val="none" w:sz="0" w:space="0" w:color="auto"/>
          </w:divBdr>
          <w:divsChild>
            <w:div w:id="6477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l.gov/agencies/whd/pandemic/ffcra-employer-paid-leave" TargetMode="External"/><Relationship Id="rId18" Type="http://schemas.openxmlformats.org/officeDocument/2006/relationships/hyperlink" Target="https://www.irs.gov/pub/irs-drop/n-20-22.pdf" TargetMode="External"/><Relationship Id="rId26" Type="http://schemas.openxmlformats.org/officeDocument/2006/relationships/hyperlink" Target="https://cdn1.digitellinc.com/uploads/nachc/articles/4965843c8da3ec3ab1ab91620cd9bae8.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ba.gov/funding-programs/loans/lender-match" TargetMode="External"/><Relationship Id="rId34" Type="http://schemas.openxmlformats.org/officeDocument/2006/relationships/hyperlink" Target="https://www.irs.gov/forms-pubs/about-form-7200" TargetMode="External"/><Relationship Id="rId7" Type="http://schemas.openxmlformats.org/officeDocument/2006/relationships/endnotes" Target="endnotes.xml"/><Relationship Id="rId12" Type="http://schemas.openxmlformats.org/officeDocument/2006/relationships/hyperlink" Target="https://www.sba.gov/tools/local-assistance/sbdc/" TargetMode="External"/><Relationship Id="rId17" Type="http://schemas.openxmlformats.org/officeDocument/2006/relationships/hyperlink" Target="https://www.irs.gov/forms-pubs/about-form-7200" TargetMode="External"/><Relationship Id="rId25" Type="http://schemas.openxmlformats.org/officeDocument/2006/relationships/hyperlink" Target="https://www.congress.gov/bill/116th-congress/house-bill/6201" TargetMode="External"/><Relationship Id="rId33" Type="http://schemas.openxmlformats.org/officeDocument/2006/relationships/hyperlink" Target="mailto:disastercustomerservice@sba.gov" TargetMode="External"/><Relationship Id="rId38" Type="http://schemas.openxmlformats.org/officeDocument/2006/relationships/hyperlink" Target="https://www.careeronestop.org/LocalHelp/UnemploymentBenefits/find-unemployment-benefits.aspx" TargetMode="External"/><Relationship Id="rId2" Type="http://schemas.openxmlformats.org/officeDocument/2006/relationships/numbering" Target="numbering.xml"/><Relationship Id="rId16" Type="http://schemas.openxmlformats.org/officeDocument/2006/relationships/hyperlink" Target="https://disasterloan.sba.gov/ela/" TargetMode="External"/><Relationship Id="rId20" Type="http://schemas.openxmlformats.org/officeDocument/2006/relationships/hyperlink" Target="https://www.congress.gov/bill/116th-congress/house-bill/748/text" TargetMode="External"/><Relationship Id="rId29" Type="http://schemas.openxmlformats.org/officeDocument/2006/relationships/hyperlink" Target="https://www.congress.gov/bill/116th-congress/house-bill/607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a.gov/funding-programs/loans/lender-match" TargetMode="External"/><Relationship Id="rId24" Type="http://schemas.openxmlformats.org/officeDocument/2006/relationships/hyperlink" Target="https://home.treasury.gov/system/files/136/PPP--Fact-Sheet.pdf" TargetMode="External"/><Relationship Id="rId32" Type="http://schemas.openxmlformats.org/officeDocument/2006/relationships/hyperlink" Target="https://disasterloan.sba.gov/ela/" TargetMode="External"/><Relationship Id="rId37" Type="http://schemas.openxmlformats.org/officeDocument/2006/relationships/hyperlink" Target="https://www.cms.gov/files/document/Accelerated-and-Advanced-Payments-Fact-Sheet.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l.gov/agencies/whd/pandemic/ffcra-questions" TargetMode="External"/><Relationship Id="rId23" Type="http://schemas.openxmlformats.org/officeDocument/2006/relationships/hyperlink" Target="https://protect-us.mimecast.com/s/MHIPCOY2DyI0WzrsEys5n" TargetMode="External"/><Relationship Id="rId28" Type="http://schemas.openxmlformats.org/officeDocument/2006/relationships/hyperlink" Target="https://www.dol.gov/agencies/whd/pandemic/ffcra-questions" TargetMode="External"/><Relationship Id="rId36" Type="http://schemas.openxmlformats.org/officeDocument/2006/relationships/hyperlink" Target="https://www.irs.gov/pub/irs-drop/n-20-22.pdf" TargetMode="External"/><Relationship Id="rId10" Type="http://schemas.openxmlformats.org/officeDocument/2006/relationships/hyperlink" Target="mailto:shansen@nachc.org" TargetMode="External"/><Relationship Id="rId19" Type="http://schemas.openxmlformats.org/officeDocument/2006/relationships/hyperlink" Target="https://www.careeronestop.org/LocalHelp/UnemploymentBenefits/find-unemployment-benefits.aspx" TargetMode="External"/><Relationship Id="rId31" Type="http://schemas.openxmlformats.org/officeDocument/2006/relationships/hyperlink" Target="https://www.sba.gov/disaster-assistance/coronavirus-covid-19" TargetMode="External"/><Relationship Id="rId4" Type="http://schemas.openxmlformats.org/officeDocument/2006/relationships/settings" Target="settings.xml"/><Relationship Id="rId9" Type="http://schemas.openxmlformats.org/officeDocument/2006/relationships/hyperlink" Target="mailto:cmeiman@nachc.org" TargetMode="External"/><Relationship Id="rId14" Type="http://schemas.openxmlformats.org/officeDocument/2006/relationships/hyperlink" Target="https://www.dol.gov/agencies/whd/pandemic/ffcra-employer-paid-leave" TargetMode="External"/><Relationship Id="rId22" Type="http://schemas.openxmlformats.org/officeDocument/2006/relationships/hyperlink" Target="https://www.sba.gov/tools/local-assistance/sbdc/" TargetMode="External"/><Relationship Id="rId27" Type="http://schemas.openxmlformats.org/officeDocument/2006/relationships/hyperlink" Target="https://www.dol.gov/agencies/whd/pandemic/ffcra-employer-paid-leave" TargetMode="External"/><Relationship Id="rId30" Type="http://schemas.openxmlformats.org/officeDocument/2006/relationships/hyperlink" Target="https://www.sba.gov/disaster-assistance/coronavirus-covid-19" TargetMode="External"/><Relationship Id="rId35" Type="http://schemas.openxmlformats.org/officeDocument/2006/relationships/hyperlink" Target="https://www.irs.gov/forms-pubs/about-form-7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A2A9-7130-44FE-9C8A-CC396678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4334</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Meiman</dc:creator>
  <cp:lastModifiedBy>Tony Skapinsky</cp:lastModifiedBy>
  <cp:revision>2</cp:revision>
  <dcterms:created xsi:type="dcterms:W3CDTF">2020-04-10T17:21:00Z</dcterms:created>
  <dcterms:modified xsi:type="dcterms:W3CDTF">2020-04-10T17:21:00Z</dcterms:modified>
</cp:coreProperties>
</file>